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DE79B6">
      <w:pPr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2741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b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Prosimy rozważyć następujące kwestie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cr/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rFonts w:ascii="Arial" w:hAnsi="Arial"/>
                              </w:rPr>
                              <w:t xml:space="preserve">W TRAKCIE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procesu rekrutacji z zagranicy</w:t>
                            </w:r>
                          </w:p>
                          <w:p w:rsidRPr="0062741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27417" w:rsidR="005C563C" w:rsidP="00593E4D" w:rsidRDefault="005C563C">
                      <w:pPr>
                        <w:spacing w:line="480" w:lineRule="auto"/>
                        <w:jc w:val="center"/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Prosimy rozważyć następujące kwestie </w:t>
                      </w:r>
                      <w:r>
                        <w:rPr>
                          <w:b/>
                          <w:rFonts w:ascii="Arial" w:hAnsi="Arial"/>
                        </w:rPr>
                        <w:cr/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W TRAKCIE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b/>
                          <w:rFonts w:ascii="Arial" w:hAnsi="Arial"/>
                        </w:rPr>
                        <w:t xml:space="preserve">procesu rekrutacji z zagranicy</w:t>
                      </w:r>
                    </w:p>
                    <w:p w:rsidRPr="00627417" w:rsidR="005C563C" w:rsidRDefault="005C563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rFonts w:ascii="Arial" w:hAnsi="Arial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="001B769C" w:rsidP="00950D65" w:rsidRDefault="001B769C">
      <w:pPr>
        <w:jc w:val="both"/>
      </w:pPr>
    </w:p>
    <w:p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6"/>
        <w:gridCol w:w="3052"/>
        <w:gridCol w:w="5220"/>
      </w:tblGrid>
      <w:tr w:rsidR="00000000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110101" w:rsidR="001B769C" w:rsidP="00110101" w:rsidRDefault="00402EFD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Etapy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110101" w:rsidR="001B769C" w:rsidP="00110101" w:rsidRDefault="001B769C">
            <w:pPr>
              <w:spacing w:before="120"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Działania</w:t>
            </w:r>
          </w:p>
        </w:tc>
      </w:tr>
      <w:tr w:rsidR="00000000" w:rsidTr="00F47996">
        <w:trPr>
          <w:trHeight w:val="198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402EFD" w:rsidP="00110101" w:rsidRDefault="00061562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Pierwsze kroki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Przeprowadziłeś(-aś) badania, opracowałeś(-aś) plan i jesteś gotowy(-a) na rekrutację w Europie – ale jak zacząć?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Na początek zajrzyj do EURES (Europejski Portal Mobilności Zawodowej) – mamy wszystkie informacje, które pomogą Ci rozpromować Twój wakat i rozpocząć poszukiwania kandydatów...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Ogłoszenie o wolnym miejscu pracy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Aby zamieścić ogłoszenie o wolnym miejscu pracy w portalu EURES, należy najpierw umieścić je w lokalnym urzędzie pracy (zob. link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„How to advertise a vacancy” („Jak zamieścić ogłoszenie o wolnym miejscu pracy”</w:t>
            </w:r>
            <w:r>
              <w:rPr>
                <w:sz w:val="22"/>
                <w:szCs w:val="22"/>
                <w:rFonts w:ascii="Arial" w:hAnsi="Arial"/>
              </w:rPr>
              <w:t xml:space="preserve">) na portalu EURES).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59356B" w:rsidP="00110101" w:rsidRDefault="0059356B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Szukanie CV w 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EURES prowadzi bazę danych ponad 260 000 osób poszukujących pracy za granicą.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Już dziś zarejestruj się w CV-Online (skorzystaj z opcji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„Wyszukiwanie CV”</w:t>
            </w:r>
            <w:r>
              <w:rPr>
                <w:sz w:val="22"/>
                <w:szCs w:val="22"/>
                <w:rFonts w:ascii="Arial" w:hAnsi="Arial"/>
              </w:rPr>
              <w:t xml:space="preserve">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To szybkie i łatwe w użyciu.</w:t>
            </w:r>
          </w:p>
        </w:tc>
      </w:tr>
      <w:tr w:rsidR="00000000" w:rsidTr="00F47996">
        <w:trPr>
          <w:trHeight w:val="1020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AF2066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Kalendarz wydarzeń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EURES zawiera wykaz najważniejszych wydarzeń organizowanych przez jego członków.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Skorzystaj z kalendarza, aby poznać szczegóły na temat wydarzeń rekrutacyjnych odbywających się w całej Europie.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Świadomość kulturowa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C3223F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Teraz, gdy już wiesz, gdzie chcesz rekrutować, pamiętaj, aby dowiedzieć się więcej o kraju, który wybrałeś(-aś).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Może się na przykład okazać, że dzień, w którym chcesz rekrutować za granicą, jest ważnym świętem narodowym.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97A71" w:rsidP="00110101" w:rsidRDefault="00797A71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Prezentacja firmy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Rozważ przygotowanie prezentacji dla kandydatów, która promuje firmę i przedstawia dostępne wsparcie w zakresie relokacji.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Może mógłbyś/mogłabyś ją przetłumaczyć i umieścić na swojej stronie?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2665F" w:rsidP="00110101" w:rsidRDefault="0072665F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27417" w:rsidR="0072665F" w:rsidP="00110101" w:rsidRDefault="0072665F">
            <w:pPr>
              <w:spacing w:before="120" w:after="120"/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Umowy o gwarantowanym poziomie usług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Jeśli rekrutujesz z pomocą osoby trzeciej, pamiętaj, aby określić zakres odpowiedzialności i zobowiązań każdej ze stron na podstawie kontraktu lub umowy o gwarantowanym poziomie usług.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B603FA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Uczestnictwo w zagranicznych targach pracy EURES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Jeśli jesteś zainteresowany(-a) rekrutacją kilku pracowników, możesz rozważyć możliwość wzięcia udziału w zagranicznych targach pracy EURES w krajach EOG, w których dostępna jest wymagana siła robocza.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Prosimy o sprawdzenie u lokalnego doradcy EURES istniejących możliwości i dalszych szczegółów dotyczących wsparcia/ustaleń w sprawie uczestnictwa.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70008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Sprawdzanie referencji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70008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Referencje CV są ważne, ale nie zakładaj, że osoba, która wystawiła referencje będzie w stanie rozmawiać lub korespondować z Tobą w Twoim ojczystym języku.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Otrzymasz lepszą odpowiedź, jeśli napiszesz do byłych pracodawców kandydata w ich własnym języku.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Referencje pracowników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Zapytaj swoich obecnych pracowników, co w pracy u Ciebie jest najlepsze.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Wykorzystaj studia przypadków, aby urzeczywistnić możliwości zatrudnienia i w miarę możliwości zaangażuj skutecznie zintegrowanych pracowników migrujących.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470008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Pomoc w relokacji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Firma, która inwestuje w swoich ludzi, zyskuje dzięki większej wydajności.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Oceń, w jakim zakresie pomoc w relokacji jest dostępna dla nowego pracownika.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Jak </w:t>
            </w:r>
            <w:r>
              <w:rPr>
                <w:sz w:val="22"/>
                <w:szCs w:val="22"/>
                <w:u w:val="single"/>
                <w:rFonts w:ascii="Arial" w:hAnsi="Arial"/>
              </w:rPr>
              <w:t xml:space="preserve">chciał(a)byś</w:t>
            </w:r>
            <w:r>
              <w:rPr>
                <w:sz w:val="22"/>
                <w:szCs w:val="22"/>
                <w:rFonts w:ascii="Arial" w:hAnsi="Arial"/>
              </w:rPr>
              <w:t xml:space="preserve"> być traktowany(-a)?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884B93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Ocena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Pamiętaj, aby zebrać informacje zwrotne od partnera rekrutacyjnego i kandydatów.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Pozwoli to ocenić mocne i słabe strony projektu oraz usprawnić przyszłe działania rekrutacyjne za granicą.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Nie zapominaj również o przekazywaniu informacji zwrotnych swoim kandydatom i partnerom rekrutacyjnym.</w:t>
            </w:r>
          </w:p>
        </w:tc>
      </w:tr>
    </w:tbl>
    <w:p w:rsidRPr="00627417" w:rsidR="00470008" w:rsidRDefault="00470008"/>
    <w:sectPr w:rsidRPr="00627417" w:rsidR="004700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Default="00110101">
      <w:r>
        <w:separator/>
      </w:r>
    </w:p>
  </w:endnote>
  <w:endnote w:type="continuationSeparator" w:id="0">
    <w:p w:rsidR="00110101" w:rsidRDefault="001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  <w:sz w:val="18"/>
        <w:szCs w:val="18"/>
        <w:rFonts w:ascii="Arial" w:hAnsi="Arial" w:cs="Arial"/>
      </w:rPr>
    </w:pPr>
    <w:r w:rsidRPr="006C3AA2">
      <w:rPr>
        <w:rStyle w:val="PageNumber"/>
        <w:sz w:val="18"/>
        <w:szCs w:val="18"/>
        <w:rFonts w:ascii="Arial" w:hAnsi="Arial" w:cs="Arial"/>
      </w:rPr>
      <w:fldChar w:fldCharType="begin"/>
    </w:r>
    <w:r w:rsidRPr="006C3AA2">
      <w:rPr>
        <w:rStyle w:val="PageNumber"/>
        <w:sz w:val="18"/>
        <w:szCs w:val="18"/>
        <w:rFonts w:ascii="Arial" w:hAnsi="Arial" w:cs="Arial"/>
      </w:rPr>
      <w:instrText xml:space="preserve">PAGE  </w:instrText>
    </w:r>
    <w:r w:rsidRPr="006C3AA2">
      <w:rPr>
        <w:rStyle w:val="PageNumber"/>
        <w:sz w:val="18"/>
        <w:szCs w:val="18"/>
        <w:rFonts w:ascii="Arial" w:hAnsi="Arial" w:cs="Arial"/>
      </w:rPr>
      <w:fldChar w:fldCharType="separate"/>
    </w:r>
    <w:r w:rsidR="00C0527D">
      <w:rPr>
        <w:rStyle w:val="PageNumber"/>
        <w:sz w:val="18"/>
        <w:szCs w:val="18"/>
        <w:rFonts w:ascii="Arial" w:hAnsi="Arial" w:cs="Arial"/>
      </w:rPr>
      <w:t>2</w:t>
    </w:r>
    <w:r w:rsidRPr="006C3AA2">
      <w:rPr>
        <w:rStyle w:val="PageNumber"/>
        <w:sz w:val="18"/>
        <w:szCs w:val="18"/>
        <w:rFonts w:ascii="Arial" w:hAnsi="Arial" w:cs="Arial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Default="00110101">
      <w:r>
        <w:separator/>
      </w:r>
    </w:p>
  </w:footnote>
  <w:footnote w:type="continuationSeparator" w:id="0">
    <w:p w:rsidR="00110101" w:rsidRDefault="0011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7CBBF8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val="pl-PL"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2419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2853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2</revision>
  <lastPrinted>2007-07-12T11:38:00.0000000Z</lastPrinted>
  <dcterms:created xsi:type="dcterms:W3CDTF">2021-05-26T07:36:00.0000000Z</dcterms:created>
  <dcterms:modified xsi:type="dcterms:W3CDTF">2021-05-26T07:36:00.0000000Z</dcterms:modified>
</coreProperties>
</file>