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1E138C">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2395855</wp:posOffset>
                </wp:positionH>
                <wp:positionV relativeFrom="paragraph">
                  <wp:posOffset>224154</wp:posOffset>
                </wp:positionV>
                <wp:extent cx="3314700" cy="140017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0175"/>
                        </a:xfrm>
                        <a:prstGeom prst="rect">
                          <a:avLst/>
                        </a:prstGeom>
                        <a:solidFill>
                          <a:srgbClr val="FFFFFF"/>
                        </a:solidFill>
                        <a:ln w="9525">
                          <a:solidFill>
                            <a:srgbClr val="000000"/>
                          </a:solidFill>
                          <a:miter lim="800000"/>
                          <a:headEnd/>
                          <a:tailEnd/>
                        </a:ln>
                      </wps:spPr>
                      <wps:txbx>
                        <w:txbxContent>
                          <w:p w:rsidR="00206703" w:rsidP="00206703" w:rsidRDefault="00206703">
                            <w:pPr>
                              <w:jc w:val="center"/>
                              <w:rPr>
                                <w:rFonts w:ascii="Arial" w:hAnsi="Arial" w:cs="Arial"/>
                                <w:b/>
                              </w:rPr>
                            </w:pPr>
                            <w:bookmarkStart w:name="_GoBack" w:id="0"/>
                          </w:p>
                          <w:p w:rsidRPr="0042019A" w:rsidR="00206703" w:rsidP="003F7758" w:rsidRDefault="00206703">
                            <w:pPr>
                              <w:spacing w:line="480" w:lineRule="auto"/>
                              <w:jc w:val="center"/>
                              <w:rPr>
                                <w:rFonts w:ascii="Arial" w:hAnsi="Arial" w:cs="Arial"/>
                                <w:b/>
                              </w:rPr>
                            </w:pPr>
                            <w:r>
                              <w:rPr>
                                <w:rFonts w:ascii="Arial" w:hAnsi="Arial"/>
                                <w:b/>
                              </w:rPr>
                              <w:t>Prosimy rozważyć następujące kwestie</w:t>
                            </w:r>
                            <w:r>
                              <w:rPr>
                                <w:rFonts w:ascii="Arial" w:hAnsi="Arial"/>
                                <w:b/>
                              </w:rPr>
                              <w:br/>
                            </w:r>
                            <w:r>
                              <w:rPr>
                                <w:rFonts w:ascii="Arial" w:hAnsi="Arial"/>
                                <w:b/>
                                <w:sz w:val="28"/>
                                <w:szCs w:val="28"/>
                                <w:u w:val="single"/>
                              </w:rPr>
                              <w:t>PO</w:t>
                            </w:r>
                            <w:r>
                              <w:rPr>
                                <w:rFonts w:ascii="Arial" w:hAnsi="Arial"/>
                                <w:b/>
                                <w:sz w:val="28"/>
                                <w:szCs w:val="28"/>
                              </w:rPr>
                              <w:br/>
                            </w:r>
                            <w:r>
                              <w:rPr>
                                <w:rFonts w:ascii="Arial" w:hAnsi="Arial"/>
                                <w:b/>
                              </w:rPr>
                              <w:t>rekrutacji pracowników z zagranicy</w:t>
                            </w:r>
                          </w:p>
                          <w:bookmarkEnd w:id="0"/>
                          <w:p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8.65pt;margin-top:17.65pt;width:261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">
                <v:textbox>
                  <w:txbxContent>
                    <w:p w:rsidR="00206703" w:rsidP="00206703" w:rsidRDefault="00206703">
                      <w:pPr>
                        <w:jc w:val="center"/>
                        <w:rPr>
                          <w:rFonts w:ascii="Arial" w:hAnsi="Arial" w:cs="Arial"/>
                          <w:b/>
                        </w:rPr>
                      </w:pPr>
                      <w:bookmarkStart w:name="_GoBack" w:id="1"/>
                    </w:p>
                    <w:p w:rsidRPr="0042019A" w:rsidR="00206703" w:rsidP="003F7758" w:rsidRDefault="00206703">
                      <w:pPr>
                        <w:spacing w:line="480" w:lineRule="auto"/>
                        <w:jc w:val="center"/>
                        <w:rPr>
                          <w:rFonts w:ascii="Arial" w:hAnsi="Arial" w:cs="Arial"/>
                          <w:b/>
                        </w:rPr>
                      </w:pPr>
                      <w:r>
                        <w:rPr>
                          <w:rFonts w:ascii="Arial" w:hAnsi="Arial"/>
                          <w:b/>
                        </w:rPr>
                        <w:t>Prosimy rozważyć następujące kwestie</w:t>
                      </w:r>
                      <w:r>
                        <w:rPr>
                          <w:rFonts w:ascii="Arial" w:hAnsi="Arial"/>
                          <w:b/>
                        </w:rPr>
                        <w:br/>
                      </w:r>
                      <w:r>
                        <w:rPr>
                          <w:rFonts w:ascii="Arial" w:hAnsi="Arial"/>
                          <w:b/>
                          <w:sz w:val="28"/>
                          <w:szCs w:val="28"/>
                          <w:u w:val="single"/>
                        </w:rPr>
                        <w:t>PO</w:t>
                      </w:r>
                      <w:r>
                        <w:rPr>
                          <w:rFonts w:ascii="Arial" w:hAnsi="Arial"/>
                          <w:b/>
                          <w:sz w:val="28"/>
                          <w:szCs w:val="28"/>
                        </w:rPr>
                        <w:br/>
                      </w:r>
                      <w:r>
                        <w:rPr>
                          <w:rFonts w:ascii="Arial" w:hAnsi="Arial"/>
                          <w:b/>
                        </w:rPr>
                        <w:t>rekrutacji pracowników z zagranicy</w:t>
                      </w:r>
                    </w:p>
                    <w:bookmarkEnd w:id="1"/>
                    <w:p w:rsidR="00206703" w:rsidRDefault="00206703"/>
                  </w:txbxContent>
                </v:textbox>
              </v:shape>
            </w:pict>
          </mc:Fallback>
        </mc:AlternateContent>
      </w:r>
      <w:r>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7B693A" w:rsidP="00950D65" w:rsidRDefault="007B693A">
      <w:pPr>
        <w:jc w:val="both"/>
      </w:pPr>
    </w:p>
    <w:p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38"/>
        <w:gridCol w:w="2130"/>
        <w:gridCol w:w="5155"/>
        <w:gridCol w:w="7"/>
        <w:gridCol w:w="7"/>
      </w:tblGrid>
      <w:tr w:rsidR="00FD4B46" w:rsidTr="00550C81">
        <w:trPr>
          <w:gridAfter w:val="1"/>
          <w:wAfter w:w="7" w:type="dxa"/>
          <w:tblHeader/>
        </w:trPr>
        <w:tc>
          <w:tcPr>
            <w:tcW w:w="1838" w:type="dxa"/>
            <w:shd w:val="clear" w:color="auto" w:fill="auto"/>
            <w:vAlign w:val="center"/>
          </w:tcPr>
          <w:p w:rsidRPr="00B560AA" w:rsidR="007B693A" w:rsidP="00CE7C62" w:rsidRDefault="007B693A">
            <w:pPr>
              <w:pStyle w:val="Heading1"/>
              <w:spacing w:before="120" w:after="120"/>
              <w:jc w:val="center"/>
              <w:rPr>
                <w:rFonts w:ascii="Arial" w:hAnsi="Arial" w:cs="Arial"/>
                <w:sz w:val="22"/>
                <w:szCs w:val="22"/>
              </w:rPr>
            </w:pPr>
            <w:r>
              <w:rPr>
                <w:rFonts w:ascii="Arial" w:hAnsi="Arial"/>
                <w:sz w:val="22"/>
                <w:szCs w:val="22"/>
              </w:rPr>
              <w:t>Do przemyślenia...</w:t>
            </w:r>
          </w:p>
        </w:tc>
        <w:tc>
          <w:tcPr>
            <w:tcW w:w="7292" w:type="dxa"/>
            <w:gridSpan w:val="3"/>
            <w:shd w:val="clear" w:color="auto" w:fill="auto"/>
            <w:vAlign w:val="center"/>
          </w:tcPr>
          <w:p w:rsidRPr="00B560AA" w:rsidR="007B693A" w:rsidP="00CE7C62" w:rsidRDefault="007B693A">
            <w:pPr>
              <w:spacing w:before="120" w:after="120"/>
              <w:jc w:val="center"/>
              <w:rPr>
                <w:rFonts w:ascii="Arial" w:hAnsi="Arial" w:cs="Arial"/>
                <w:b/>
                <w:sz w:val="22"/>
                <w:szCs w:val="22"/>
              </w:rPr>
            </w:pPr>
            <w:r>
              <w:rPr>
                <w:rFonts w:ascii="Arial" w:hAnsi="Arial"/>
                <w:b/>
                <w:sz w:val="22"/>
                <w:szCs w:val="22"/>
              </w:rPr>
              <w:t>Działania</w:t>
            </w:r>
          </w:p>
        </w:tc>
      </w:tr>
      <w:tr w:rsidR="00FD4B46" w:rsidTr="00550C81">
        <w:trPr>
          <w:gridAfter w:val="2"/>
          <w:wAfter w:w="14" w:type="dxa"/>
          <w:cantSplit/>
          <w:trHeight w:val="1701"/>
        </w:trPr>
        <w:tc>
          <w:tcPr>
            <w:tcW w:w="1838" w:type="dxa"/>
            <w:vMerge w:val="restart"/>
            <w:shd w:val="clear" w:color="auto" w:fill="auto"/>
            <w:textDirection w:val="btLr"/>
            <w:vAlign w:val="center"/>
          </w:tcPr>
          <w:p w:rsidRPr="00B560AA" w:rsidR="00FD479A" w:rsidP="00CE7C62" w:rsidRDefault="00FD479A">
            <w:pPr>
              <w:spacing w:before="120" w:after="120"/>
              <w:ind w:left="113" w:right="113"/>
              <w:jc w:val="center"/>
              <w:rPr>
                <w:rFonts w:ascii="Arial" w:hAnsi="Arial" w:cs="Arial"/>
                <w:b/>
                <w:sz w:val="22"/>
                <w:szCs w:val="22"/>
              </w:rPr>
            </w:pPr>
            <w:r>
              <w:rPr>
                <w:rFonts w:ascii="Arial" w:hAnsi="Arial"/>
                <w:b/>
                <w:sz w:val="22"/>
                <w:szCs w:val="22"/>
              </w:rPr>
              <w:t>Integracja pracowników</w:t>
            </w:r>
          </w:p>
        </w:tc>
        <w:tc>
          <w:tcPr>
            <w:tcW w:w="2130" w:type="dxa"/>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Pakiet powitalny</w:t>
            </w:r>
          </w:p>
        </w:tc>
        <w:tc>
          <w:tcPr>
            <w:tcW w:w="5155" w:type="dxa"/>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Pakiet powitalny jest przydatnym dodatkiem do formalnej procedury indukcji. Możesz zamieścić w nim informacje o okolicy, takie jak: połączenia komunikacyjne, wskazówki dotyczące dojazdu do miejsca pracy, mapę i szczegóły dotyczące pobliskich obiektów.</w:t>
            </w:r>
          </w:p>
        </w:tc>
      </w:tr>
      <w:tr w:rsidR="00FD4B46" w:rsidTr="00550C81">
        <w:trPr>
          <w:gridAfter w:val="2"/>
          <w:wAfter w:w="14" w:type="dxa"/>
          <w:cantSplit/>
          <w:trHeight w:val="1701"/>
        </w:trPr>
        <w:tc>
          <w:tcPr>
            <w:tcW w:w="183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13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Formalności prawne i administracyjne</w:t>
            </w:r>
          </w:p>
        </w:tc>
        <w:tc>
          <w:tcPr>
            <w:tcW w:w="5155" w:type="dxa"/>
            <w:tcBorders>
              <w:bottom w:val="single" w:color="auto" w:sz="4" w:space="0"/>
            </w:tcBorders>
            <w:shd w:val="clear" w:color="auto" w:fill="auto"/>
            <w:vAlign w:val="center"/>
          </w:tcPr>
          <w:p w:rsidRPr="00B560AA" w:rsidR="00FD479A" w:rsidP="00CE7C62" w:rsidRDefault="00D06991">
            <w:pPr>
              <w:spacing w:before="120" w:after="120"/>
              <w:rPr>
                <w:rFonts w:ascii="Arial" w:hAnsi="Arial" w:cs="Arial"/>
                <w:sz w:val="22"/>
                <w:szCs w:val="22"/>
              </w:rPr>
            </w:pPr>
            <w:r>
              <w:rPr>
                <w:rFonts w:ascii="Arial" w:hAnsi="Arial"/>
                <w:sz w:val="22"/>
                <w:szCs w:val="22"/>
              </w:rPr>
              <w:t>Pracownicy, którzy muszą się zarejestrować w urzędzie, mogą wymagać przerwy w pracy. Należy uwzględnić czas potrzebny na złożenie wniosku o nadanie numeru zabezpieczenia społecznego, dokumentu rejestracyjnego lub na dokonanie innych formalności wymaganych przez władze.</w:t>
            </w:r>
          </w:p>
        </w:tc>
      </w:tr>
      <w:tr w:rsidR="00FD4B46" w:rsidTr="00550C81">
        <w:trPr>
          <w:gridAfter w:val="2"/>
          <w:wAfter w:w="14" w:type="dxa"/>
          <w:cantSplit/>
          <w:trHeight w:val="1701"/>
        </w:trPr>
        <w:tc>
          <w:tcPr>
            <w:tcW w:w="183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13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Kwestie rodzinne i lokacyjne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Nie możesz być odpowiedzialny(-a) za każdy aspekt integracji nowych pracowników, ale weź pod uwagę ich sytuację i czas, jakiego mogą potrzebować na poszukiwanie mieszkania, odwiedzenie szkoły czy wsparcie rodziny.</w:t>
            </w:r>
          </w:p>
        </w:tc>
      </w:tr>
      <w:tr w:rsidR="00FD4B46" w:rsidTr="00550C81">
        <w:trPr>
          <w:gridAfter w:val="2"/>
          <w:wAfter w:w="14" w:type="dxa"/>
          <w:cantSplit/>
          <w:trHeight w:val="1701"/>
        </w:trPr>
        <w:tc>
          <w:tcPr>
            <w:tcW w:w="183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13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Przygotowywanie pracowników-rezydentów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bCs/>
                <w:sz w:val="22"/>
                <w:szCs w:val="22"/>
              </w:rPr>
              <w:t>Zaangażuj obecnych pracowników w jak największym stopniu w proces rekrutacji. Wyjaśnij im, co robisz i dlaczego. Impreza towarzyska pomoże Twoim pracownikom poznać się nawzajem. Nie chcesz, aby czuli się zagrożeni przez Twoich nowych pracowników.</w:t>
            </w:r>
          </w:p>
        </w:tc>
      </w:tr>
      <w:tr w:rsidR="00FD4B46" w:rsidTr="00550C81">
        <w:trPr>
          <w:gridAfter w:val="2"/>
          <w:wAfter w:w="14" w:type="dxa"/>
          <w:cantSplit/>
          <w:trHeight w:val="1701"/>
        </w:trPr>
        <w:tc>
          <w:tcPr>
            <w:tcW w:w="183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130" w:type="dxa"/>
            <w:shd w:val="clear" w:color="auto" w:fill="auto"/>
            <w:vAlign w:val="center"/>
          </w:tcPr>
          <w:p w:rsidRPr="00B560AA" w:rsidR="00FD479A" w:rsidP="00CE7C62" w:rsidRDefault="00FD479A">
            <w:pPr>
              <w:spacing w:before="120" w:after="120"/>
              <w:rPr>
                <w:rFonts w:ascii="Arial" w:hAnsi="Arial" w:cs="Arial"/>
                <w:b/>
                <w:sz w:val="22"/>
                <w:szCs w:val="22"/>
              </w:rPr>
            </w:pPr>
            <w:r>
              <w:rPr>
                <w:rFonts w:ascii="Arial" w:hAnsi="Arial"/>
                <w:b/>
                <w:sz w:val="22"/>
                <w:szCs w:val="22"/>
              </w:rPr>
              <w:t>Mentoring</w:t>
            </w:r>
          </w:p>
        </w:tc>
        <w:tc>
          <w:tcPr>
            <w:tcW w:w="5155" w:type="dxa"/>
            <w:shd w:val="clear" w:color="auto" w:fill="auto"/>
            <w:vAlign w:val="center"/>
          </w:tcPr>
          <w:p w:rsidRPr="00B560AA" w:rsidR="00FD479A" w:rsidP="00CE7C62" w:rsidRDefault="00FD479A">
            <w:pPr>
              <w:spacing w:before="120" w:after="120"/>
              <w:rPr>
                <w:rFonts w:ascii="Arial" w:hAnsi="Arial" w:cs="Arial"/>
                <w:bCs/>
                <w:sz w:val="22"/>
                <w:szCs w:val="22"/>
              </w:rPr>
            </w:pPr>
            <w:r>
              <w:rPr>
                <w:rFonts w:ascii="Arial" w:hAnsi="Arial"/>
                <w:sz w:val="22"/>
                <w:szCs w:val="22"/>
              </w:rPr>
              <w:t>Wyznaczenie mentora, który będzie wspierał pracownika w zakresie kultury pracy, rutynowych czynności i aspektów społecznych w nowym miejscu pracy, jest pozytywnym krokiem wspierającym jego integrację w miejscu pracy. Tą osobą może być ktoś, kto sam przeszedł przez podobne doświadczenie.</w:t>
            </w:r>
          </w:p>
        </w:tc>
      </w:tr>
      <w:tr w:rsidR="00FD4B46" w:rsidTr="00550C81">
        <w:tc>
          <w:tcPr>
            <w:tcW w:w="1838" w:type="dxa"/>
            <w:vMerge w:val="restart"/>
            <w:shd w:val="clear" w:color="auto" w:fill="auto"/>
            <w:textDirection w:val="btLr"/>
            <w:vAlign w:val="center"/>
          </w:tcPr>
          <w:p w:rsidRPr="00B560AA" w:rsidR="009E1667" w:rsidP="003F7758" w:rsidRDefault="009E1667">
            <w:pPr>
              <w:keepNext/>
              <w:spacing w:before="120" w:after="120"/>
              <w:ind w:left="113" w:right="113"/>
              <w:jc w:val="center"/>
              <w:rPr>
                <w:rFonts w:ascii="Arial" w:hAnsi="Arial" w:cs="Arial"/>
                <w:b/>
                <w:sz w:val="22"/>
                <w:szCs w:val="22"/>
              </w:rPr>
            </w:pPr>
            <w:r>
              <w:rPr>
                <w:rFonts w:ascii="Arial" w:hAnsi="Arial"/>
                <w:b/>
                <w:sz w:val="22"/>
                <w:szCs w:val="22"/>
              </w:rPr>
              <w:lastRenderedPageBreak/>
              <w:t>Warunki w miejscu pracy</w:t>
            </w:r>
          </w:p>
        </w:tc>
        <w:tc>
          <w:tcPr>
            <w:tcW w:w="2130" w:type="dxa"/>
            <w:shd w:val="clear" w:color="auto" w:fill="auto"/>
            <w:vAlign w:val="center"/>
          </w:tcPr>
          <w:p w:rsidRPr="00B560AA" w:rsidR="009E1667" w:rsidP="003F7758" w:rsidRDefault="009E1667">
            <w:pPr>
              <w:keepNext/>
              <w:keepLines/>
              <w:spacing w:before="120" w:after="120"/>
              <w:rPr>
                <w:rFonts w:ascii="Arial" w:hAnsi="Arial" w:cs="Arial"/>
                <w:b/>
                <w:sz w:val="22"/>
                <w:szCs w:val="22"/>
              </w:rPr>
            </w:pPr>
            <w:r>
              <w:rPr>
                <w:rFonts w:ascii="Arial" w:hAnsi="Arial"/>
                <w:b/>
                <w:sz w:val="22"/>
                <w:szCs w:val="22"/>
              </w:rPr>
              <w:t>Warunki pracy</w:t>
            </w:r>
          </w:p>
        </w:tc>
        <w:tc>
          <w:tcPr>
            <w:tcW w:w="5169" w:type="dxa"/>
            <w:gridSpan w:val="3"/>
            <w:shd w:val="clear" w:color="auto" w:fill="auto"/>
            <w:vAlign w:val="center"/>
          </w:tcPr>
          <w:p w:rsidRPr="00B560AA" w:rsidR="009E1667" w:rsidP="003F7758" w:rsidRDefault="009E1667">
            <w:pPr>
              <w:keepNext/>
              <w:keepLines/>
              <w:spacing w:before="120" w:after="120"/>
              <w:rPr>
                <w:rFonts w:ascii="Arial" w:hAnsi="Arial" w:cs="Arial"/>
                <w:sz w:val="22"/>
                <w:szCs w:val="22"/>
              </w:rPr>
            </w:pPr>
            <w:r>
              <w:rPr>
                <w:rFonts w:ascii="Arial" w:hAnsi="Arial"/>
                <w:sz w:val="22"/>
                <w:szCs w:val="22"/>
              </w:rPr>
              <w:t>Pracownicy zagraniczni są uprawnieni do takich samych warunków pracy na mocy prawa UE i prawa krajowego. Upewnij się, że ustalenia umowne dla nowych pracowników są sprawiedliwe i niedyskryminujące.</w:t>
            </w:r>
          </w:p>
        </w:tc>
      </w:tr>
      <w:tr w:rsidR="00FD4B46" w:rsidTr="00550C81">
        <w:tc>
          <w:tcPr>
            <w:tcW w:w="1838"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130"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Zdrowie i bezpieczeństwo</w:t>
            </w:r>
          </w:p>
        </w:tc>
        <w:tc>
          <w:tcPr>
            <w:tcW w:w="5169" w:type="dxa"/>
            <w:gridSpan w:val="3"/>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Należy zwrócić szczególną uwagę na to, aby nowi pracownicy z zagranicy zapoznali się z ustaleniami dotyczącymi zdrowia, bezpieczeństwa i ochrony. Może zaistnieć potrzeba udzielenia dodatkowego wsparcia i sprawdzenia, czy rozumieją, co należy robić podczas ćwiczeń przeciwpożarowych lub w innych sytuacjach awaryjnych.</w:t>
            </w:r>
          </w:p>
        </w:tc>
      </w:tr>
      <w:tr w:rsidR="00FD4B46" w:rsidTr="00550C81">
        <w:tc>
          <w:tcPr>
            <w:tcW w:w="1838"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130"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Szkolenia</w:t>
            </w:r>
          </w:p>
        </w:tc>
        <w:tc>
          <w:tcPr>
            <w:tcW w:w="5169" w:type="dxa"/>
            <w:gridSpan w:val="3"/>
            <w:shd w:val="clear" w:color="auto" w:fill="auto"/>
            <w:vAlign w:val="center"/>
          </w:tcPr>
          <w:p w:rsidRPr="00B560AA" w:rsidR="00A328F2" w:rsidP="00CE7C62" w:rsidRDefault="009E1667">
            <w:pPr>
              <w:spacing w:before="120" w:after="120"/>
              <w:rPr>
                <w:rFonts w:ascii="Arial" w:hAnsi="Arial" w:cs="Arial"/>
                <w:sz w:val="22"/>
                <w:szCs w:val="22"/>
              </w:rPr>
            </w:pPr>
            <w:r>
              <w:rPr>
                <w:rFonts w:ascii="Arial" w:hAnsi="Arial"/>
                <w:sz w:val="22"/>
                <w:szCs w:val="22"/>
              </w:rPr>
              <w:t>Dostęp do możliwości uczenia się i rozwoju jest ważny dla wszystkich pracowników, ale może być konieczne dostosowanie szkolenia dla pracowników z zagranicy, jeśli nie znają oni języka technicznego lub sprzętu, którego będą używać.</w:t>
            </w:r>
          </w:p>
        </w:tc>
      </w:tr>
      <w:tr w:rsidR="00FD4B46" w:rsidTr="00550C81">
        <w:trPr>
          <w:trHeight w:val="1022"/>
        </w:trPr>
        <w:tc>
          <w:tcPr>
            <w:tcW w:w="1838" w:type="dxa"/>
            <w:vMerge/>
            <w:shd w:val="clear" w:color="auto" w:fill="auto"/>
          </w:tcPr>
          <w:p w:rsidRPr="00B560AA" w:rsidR="009E1667" w:rsidP="00CE7C62" w:rsidRDefault="009E1667">
            <w:pPr>
              <w:spacing w:before="120" w:after="120"/>
              <w:jc w:val="center"/>
              <w:rPr>
                <w:rFonts w:ascii="Arial" w:hAnsi="Arial" w:cs="Arial"/>
                <w:b/>
                <w:sz w:val="22"/>
                <w:szCs w:val="22"/>
              </w:rPr>
            </w:pPr>
          </w:p>
        </w:tc>
        <w:tc>
          <w:tcPr>
            <w:tcW w:w="2130" w:type="dxa"/>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Kwestie związane z zatrzymywaniem pracowników</w:t>
            </w:r>
          </w:p>
        </w:tc>
        <w:tc>
          <w:tcPr>
            <w:tcW w:w="5169" w:type="dxa"/>
            <w:gridSpan w:val="3"/>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Jeśli potrzebujesz długoterminowego zaangażowania od nowych pracowników, postaraj się przewidzieć wszelkie problemy, które mogą wpłynąć na ich zatrzymanie. Czy potrzebują wracać do domu na Boże Narodzenie? Czy są zadowoleni ze swoich warunków życia i pracy?</w:t>
            </w:r>
          </w:p>
        </w:tc>
      </w:tr>
    </w:tbl>
    <w:p w:rsidRPr="0042019A"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00FD4B46" w:rsidTr="00CE7C62">
        <w:trPr>
          <w:trHeight w:val="1022"/>
        </w:trPr>
        <w:tc>
          <w:tcPr>
            <w:tcW w:w="3972" w:type="dxa"/>
            <w:shd w:val="clear" w:color="auto" w:fill="auto"/>
            <w:vAlign w:val="center"/>
          </w:tcPr>
          <w:p w:rsidRPr="00B560AA" w:rsidR="00AB52D3" w:rsidP="00CE7C62" w:rsidRDefault="00AB52D3">
            <w:pPr>
              <w:spacing w:before="120" w:after="120"/>
              <w:rPr>
                <w:rFonts w:ascii="Arial" w:hAnsi="Arial" w:cs="Arial"/>
                <w:b/>
              </w:rPr>
            </w:pPr>
            <w:r>
              <w:rPr>
                <w:rFonts w:ascii="Arial" w:hAnsi="Arial"/>
                <w:b/>
              </w:rPr>
              <w:t>Podziel się swoim doświadczeniem!</w:t>
            </w:r>
          </w:p>
        </w:tc>
        <w:tc>
          <w:tcPr>
            <w:tcW w:w="5151" w:type="dxa"/>
            <w:shd w:val="clear" w:color="auto" w:fill="auto"/>
            <w:vAlign w:val="center"/>
          </w:tcPr>
          <w:p w:rsidRPr="00B560AA" w:rsidR="00AB52D3" w:rsidP="00CE7C62" w:rsidRDefault="00AB52D3">
            <w:pPr>
              <w:spacing w:before="120" w:after="120"/>
              <w:rPr>
                <w:rFonts w:ascii="Arial" w:hAnsi="Arial" w:cs="Arial"/>
                <w:sz w:val="22"/>
                <w:szCs w:val="22"/>
              </w:rPr>
            </w:pPr>
            <w:r>
              <w:rPr>
                <w:rFonts w:ascii="Arial" w:hAnsi="Arial"/>
                <w:sz w:val="22"/>
                <w:szCs w:val="22"/>
              </w:rPr>
              <w:t xml:space="preserve">Jeśli Twoje doświadczenia z rekrutacją za granicą zainteresują innych, </w:t>
            </w:r>
            <w:r>
              <w:rPr>
                <w:rFonts w:ascii="Arial" w:hAnsi="Arial"/>
                <w:sz w:val="22"/>
                <w:szCs w:val="22"/>
                <w:u w:val="single"/>
              </w:rPr>
              <w:t>opowiedz nam o nich</w:t>
            </w:r>
            <w:r>
              <w:rPr>
                <w:rFonts w:ascii="Arial" w:hAnsi="Arial"/>
                <w:sz w:val="22"/>
                <w:szCs w:val="22"/>
              </w:rPr>
              <w:t>! Historia Twojej firmy może pojawić się na naszej stronie internetowej i stanowić zachętę dla innych pracodawców, którzy wahają się przed rekrutacją w innych krajach Europy. Co poszło dobrze? Czy napotkaliście jakieś bariery? Jak dopasowali się Twoi pracownicy?</w:t>
            </w:r>
          </w:p>
          <w:p w:rsidRPr="00B560AA" w:rsidR="00AB52D3" w:rsidP="00CE7C62" w:rsidRDefault="00AB52D3">
            <w:pPr>
              <w:pStyle w:val="Pa2"/>
              <w:spacing w:before="120" w:after="120"/>
              <w:rPr>
                <w:rFonts w:ascii="Arial" w:hAnsi="Arial" w:cs="Arial"/>
                <w:sz w:val="22"/>
                <w:szCs w:val="22"/>
              </w:rPr>
            </w:pPr>
            <w:r>
              <w:rPr>
                <w:rFonts w:ascii="Arial" w:hAnsi="Arial"/>
                <w:sz w:val="22"/>
                <w:szCs w:val="22"/>
              </w:rPr>
              <w:t xml:space="preserve">Możesz wysłać swoją historię na następujący adres: </w:t>
            </w:r>
          </w:p>
        </w:tc>
      </w:tr>
    </w:tbl>
    <w:p w:rsidRPr="001B769C" w:rsidR="00C3223F" w:rsidRDefault="00C3223F"/>
    <w:sectPr w:rsidRPr="001B769C"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Default="00DD3280">
      <w:r>
        <w:separator/>
      </w:r>
    </w:p>
  </w:endnote>
  <w:endnote w:type="continuationSeparator" w:id="0">
    <w:p w:rsidR="00DD3280" w:rsidRDefault="00D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03" w:rsidP="004073D9" w:rsidRDefault="00206703">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206703" w:rsidP="004073D9" w:rsidRDefault="00206703">
    <w:pPr>
      <w:pStyle w:val="Footer"/>
      <w:framePr w:wrap="around" w:hAnchor="margin" w:vAnchor="text"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CE7C62">
      <w:rPr>
        <w:rStyle w:val="PageNumber"/>
        <w:rFonts w:ascii="Arial" w:hAnsi="Arial" w:cs="Arial"/>
        <w:sz w:val="18"/>
        <w:szCs w:val="18"/>
      </w:rPr>
      <w:t>2</w:t>
    </w:r>
    <w:r w:rsidRPr="006C3AA2">
      <w:rPr>
        <w:rStyle w:val="PageNumber"/>
        <w:rFonts w:ascii="Arial" w:hAnsi="Arial" w:cs="Arial"/>
        <w:sz w:val="18"/>
        <w:szCs w:val="18"/>
      </w:rPr>
      <w:fldChar w:fldCharType="end"/>
    </w:r>
  </w:p>
  <w:p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Default="00DD3280">
      <w:r>
        <w:separator/>
      </w:r>
    </w:p>
  </w:footnote>
  <w:footnote w:type="continuationSeparator" w:id="0">
    <w:p w:rsidR="00DD3280" w:rsidRDefault="00DD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6AAD"/>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0C81"/>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D4B46"/>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399</ap:Words>
  <ap:Characters>2647</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3040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4</revision>
  <lastPrinted>2008-05-21T15:27:00.0000000Z</lastPrinted>
  <dcterms:created xsi:type="dcterms:W3CDTF">2021-05-26T07:39:00.0000000Z</dcterms:created>
  <dcterms:modified xsi:type="dcterms:W3CDTF">2021-06-02T07:43:00.0000000Z</dcterms:modified>
</coreProperties>
</file>