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DFD8"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318EE01F" wp14:editId="318EE020">
                <wp:simplePos x="0" y="0"/>
                <wp:positionH relativeFrom="column">
                  <wp:posOffset>2395855</wp:posOffset>
                </wp:positionH>
                <wp:positionV relativeFrom="paragraph">
                  <wp:posOffset>224155</wp:posOffset>
                </wp:positionV>
                <wp:extent cx="3314700" cy="15430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543050"/>
                        </a:xfrm>
                        <a:prstGeom prst="rect">
                          <a:avLst/>
                        </a:prstGeom>
                        <a:solidFill>
                          <a:srgbClr val="FFFFFF"/>
                        </a:solidFill>
                        <a:ln w="9525">
                          <a:solidFill>
                            <a:srgbClr val="000000"/>
                          </a:solidFill>
                          <a:miter lim="800000"/>
                          <a:headEnd/>
                          <a:tailEnd/>
                        </a:ln>
                      </wps:spPr>
                      <wps:txbx>
                        <w:txbxContent>
                          <w:p w14:paraId="318EE02B" w14:textId="77777777" w:rsidR="002000A7" w:rsidRDefault="002000A7" w:rsidP="004D46DF">
                            <w:pPr>
                              <w:spacing w:before="160" w:after="160" w:line="480" w:lineRule="auto"/>
                              <w:jc w:val="center"/>
                            </w:pPr>
                            <w:r>
                              <w:rPr>
                                <w:rFonts w:ascii="Arial" w:hAnsi="Arial"/>
                                <w:b/>
                              </w:rPr>
                              <w:t>Aspekty, ktoré treba vziať do úvahy</w:t>
                            </w:r>
                            <w:r>
                              <w:rPr>
                                <w:rFonts w:ascii="Arial" w:hAnsi="Arial"/>
                                <w:b/>
                              </w:rPr>
                              <w:br/>
                            </w:r>
                            <w:r>
                              <w:rPr>
                                <w:rFonts w:ascii="Arial" w:hAnsi="Arial"/>
                                <w:b/>
                                <w:sz w:val="28"/>
                                <w:szCs w:val="28"/>
                                <w:u w:val="single"/>
                              </w:rPr>
                              <w:t>PRED</w:t>
                            </w:r>
                            <w:r>
                              <w:rPr>
                                <w:rFonts w:ascii="Arial" w:hAnsi="Arial"/>
                                <w:b/>
                                <w:sz w:val="28"/>
                                <w:szCs w:val="28"/>
                              </w:rPr>
                              <w:br/>
                            </w:r>
                            <w:r>
                              <w:rPr>
                                <w:rFonts w:ascii="Arial" w:hAnsi="Arial"/>
                                <w:b/>
                              </w:rPr>
                              <w:t>prijatím pracovníkov zo zahraničia do zamestnania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88.65pt;margin-top:17.65pt;width:261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">
                <v:textbox>
                  <w:txbxContent>
                    <w:p w:rsidR="002000A7" w:rsidP="004D46DF" w:rsidRDefault="002000A7">
                      <w:pPr>
                        <w:spacing w:before="160" w:after="160" w:line="480" w:lineRule="auto"/>
                        <w:jc w:val="center"/>
                      </w:pPr>
                      <w:r>
                        <w:rPr>
                          <w:rFonts w:ascii="Arial" w:hAnsi="Arial"/>
                          <w:b/>
                        </w:rPr>
                        <w:t>Aspekty, ktoré treba vziať do úvahy</w:t>
                      </w:r>
                      <w:r>
                        <w:rPr>
                          <w:rFonts w:ascii="Arial" w:hAnsi="Arial"/>
                          <w:b/>
                        </w:rPr>
                        <w:br/>
                      </w:r>
                      <w:r>
                        <w:rPr>
                          <w:rFonts w:ascii="Arial" w:hAnsi="Arial"/>
                          <w:b/>
                          <w:sz w:val="28"/>
                          <w:szCs w:val="28"/>
                          <w:u w:val="single"/>
                        </w:rPr>
                        <w:t>PRED</w:t>
                      </w:r>
                      <w:r>
                        <w:rPr>
                          <w:rFonts w:ascii="Arial" w:hAnsi="Arial"/>
                          <w:b/>
                          <w:sz w:val="28"/>
                          <w:szCs w:val="28"/>
                        </w:rPr>
                        <w:br/>
                      </w:r>
                      <w:r>
                        <w:rPr>
                          <w:rFonts w:ascii="Arial" w:hAnsi="Arial"/>
                          <w:b/>
                        </w:rPr>
                        <w:t>prijatím pracovníkov zo zahraničia do zamestnania</w:t>
                      </w:r>
                    </w:p>
                  </w:txbxContent>
                </v:textbox>
              </v:shape>
            </w:pict>
          </mc:Fallback>
        </mc:AlternateContent>
      </w:r>
      <w:r>
        <w:rPr>
          <w:rFonts w:ascii="Arial" w:hAnsi="Arial"/>
          <w:b/>
          <w:noProof/>
          <w:sz w:val="28"/>
          <w:szCs w:val="28"/>
        </w:rPr>
        <w:drawing>
          <wp:inline distT="0" distB="0" distL="0" distR="0" wp14:anchorId="318EE021" wp14:editId="318EE022">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318EDFD9" w14:textId="77777777" w:rsidR="00292D82" w:rsidRPr="003C6DAE" w:rsidRDefault="00292D82" w:rsidP="001B769C">
      <w:pPr>
        <w:jc w:val="center"/>
        <w:rPr>
          <w:rFonts w:ascii="Arial" w:hAnsi="Arial" w:cs="Arial"/>
          <w:b/>
          <w:sz w:val="28"/>
          <w:szCs w:val="28"/>
        </w:rPr>
      </w:pPr>
    </w:p>
    <w:p w14:paraId="318EDFDA" w14:textId="77777777" w:rsidR="008B3B4F" w:rsidRPr="003C6DAE" w:rsidRDefault="008B3B4F" w:rsidP="001B769C">
      <w:pPr>
        <w:jc w:val="center"/>
        <w:rPr>
          <w:rFonts w:ascii="Arial" w:hAnsi="Arial" w:cs="Arial"/>
          <w:b/>
          <w:sz w:val="28"/>
          <w:szCs w:val="28"/>
        </w:rPr>
      </w:pPr>
    </w:p>
    <w:p w14:paraId="318EDFDB"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2283"/>
        <w:gridCol w:w="6023"/>
      </w:tblGrid>
      <w:tr w:rsidR="00E04622" w14:paraId="318EDFDF" w14:textId="77777777" w:rsidTr="00A3467B">
        <w:tc>
          <w:tcPr>
            <w:tcW w:w="417" w:type="pct"/>
            <w:shd w:val="clear" w:color="auto" w:fill="auto"/>
            <w:vAlign w:val="center"/>
          </w:tcPr>
          <w:p w14:paraId="318EDFDC" w14:textId="77777777" w:rsidR="001B769C" w:rsidRPr="00E951B7" w:rsidRDefault="00950D65" w:rsidP="008768AF">
            <w:pPr>
              <w:pStyle w:val="Heading1"/>
              <w:rPr>
                <w:rFonts w:ascii="Arial" w:hAnsi="Arial" w:cs="Arial"/>
                <w:sz w:val="22"/>
                <w:szCs w:val="22"/>
              </w:rPr>
            </w:pPr>
            <w:r>
              <w:rPr>
                <w:rFonts w:ascii="Arial" w:hAnsi="Arial"/>
                <w:sz w:val="22"/>
                <w:szCs w:val="22"/>
              </w:rPr>
              <w:t>Premyslite si…</w:t>
            </w:r>
          </w:p>
        </w:tc>
        <w:tc>
          <w:tcPr>
            <w:tcW w:w="4583" w:type="pct"/>
            <w:gridSpan w:val="2"/>
            <w:shd w:val="clear" w:color="auto" w:fill="auto"/>
            <w:vAlign w:val="center"/>
          </w:tcPr>
          <w:p w14:paraId="318EDFDD" w14:textId="77777777" w:rsidR="00C3223F" w:rsidRPr="00E951B7" w:rsidRDefault="00C3223F" w:rsidP="008768AF">
            <w:pPr>
              <w:rPr>
                <w:rFonts w:ascii="Arial" w:hAnsi="Arial" w:cs="Arial"/>
                <w:b/>
                <w:sz w:val="22"/>
                <w:szCs w:val="22"/>
              </w:rPr>
            </w:pPr>
          </w:p>
          <w:p w14:paraId="318EDFDE" w14:textId="77777777" w:rsidR="001B769C" w:rsidRPr="00E951B7" w:rsidRDefault="001B769C" w:rsidP="008768AF">
            <w:pPr>
              <w:rPr>
                <w:rFonts w:ascii="Arial" w:hAnsi="Arial" w:cs="Arial"/>
                <w:b/>
                <w:sz w:val="22"/>
                <w:szCs w:val="22"/>
              </w:rPr>
            </w:pPr>
            <w:r>
              <w:rPr>
                <w:rFonts w:ascii="Arial" w:hAnsi="Arial"/>
                <w:b/>
                <w:sz w:val="22"/>
                <w:szCs w:val="22"/>
              </w:rPr>
              <w:t>Postup</w:t>
            </w:r>
          </w:p>
        </w:tc>
      </w:tr>
      <w:tr w:rsidR="00E04622" w14:paraId="318EDFE3" w14:textId="77777777" w:rsidTr="00A3467B">
        <w:trPr>
          <w:cantSplit/>
          <w:trHeight w:val="1417"/>
        </w:trPr>
        <w:tc>
          <w:tcPr>
            <w:tcW w:w="417" w:type="pct"/>
            <w:vMerge w:val="restart"/>
            <w:shd w:val="clear" w:color="auto" w:fill="auto"/>
            <w:textDirection w:val="btLr"/>
            <w:vAlign w:val="center"/>
          </w:tcPr>
          <w:p w14:paraId="318EDFE0"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Poradenstvo a plánovanie</w:t>
            </w:r>
          </w:p>
        </w:tc>
        <w:tc>
          <w:tcPr>
            <w:tcW w:w="1007" w:type="pct"/>
            <w:shd w:val="clear" w:color="auto" w:fill="auto"/>
            <w:vAlign w:val="center"/>
          </w:tcPr>
          <w:p w14:paraId="318EDFE1" w14:textId="77777777" w:rsidR="00C3223F" w:rsidRPr="00E951B7" w:rsidRDefault="00C3223F" w:rsidP="00A866F5">
            <w:pPr>
              <w:pStyle w:val="Heading1"/>
              <w:rPr>
                <w:rFonts w:ascii="Arial" w:hAnsi="Arial" w:cs="Arial"/>
                <w:sz w:val="22"/>
                <w:szCs w:val="22"/>
              </w:rPr>
            </w:pPr>
            <w:r>
              <w:rPr>
                <w:rFonts w:ascii="Arial" w:hAnsi="Arial"/>
                <w:sz w:val="22"/>
                <w:szCs w:val="22"/>
              </w:rPr>
              <w:t>Miestne služby zamestnanosti</w:t>
            </w:r>
          </w:p>
        </w:tc>
        <w:tc>
          <w:tcPr>
            <w:tcW w:w="3576" w:type="pct"/>
            <w:shd w:val="clear" w:color="auto" w:fill="auto"/>
            <w:vAlign w:val="center"/>
          </w:tcPr>
          <w:p w14:paraId="318EDFE2"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Pred tým, než začnete hľadať uchádzačov zo zahraničia, obráťte sa na </w:t>
            </w:r>
            <w:r>
              <w:rPr>
                <w:rFonts w:ascii="Arial" w:hAnsi="Arial"/>
                <w:i/>
                <w:sz w:val="22"/>
                <w:szCs w:val="22"/>
              </w:rPr>
              <w:t>miestnu službu zamestnanosti</w:t>
            </w:r>
            <w:r>
              <w:rPr>
                <w:rFonts w:ascii="Arial" w:hAnsi="Arial"/>
                <w:sz w:val="22"/>
                <w:szCs w:val="22"/>
              </w:rPr>
              <w:t xml:space="preserve"> a preberte s ňou svoje potreby v súvislosti s prijímaním do zamestnania. Možno vám dokáže pomôcť nájsť vhodných uchádzačov, ktorí sa nachádzajú bližšie.</w:t>
            </w:r>
          </w:p>
        </w:tc>
      </w:tr>
      <w:tr w:rsidR="00E04622" w14:paraId="318EDFE7" w14:textId="77777777" w:rsidTr="00B06F9D">
        <w:trPr>
          <w:trHeight w:val="737"/>
        </w:trPr>
        <w:tc>
          <w:tcPr>
            <w:tcW w:w="417" w:type="pct"/>
            <w:vMerge/>
            <w:tcBorders>
              <w:bottom w:val="single" w:sz="4" w:space="0" w:color="auto"/>
            </w:tcBorders>
            <w:shd w:val="clear" w:color="auto" w:fill="auto"/>
            <w:vAlign w:val="center"/>
          </w:tcPr>
          <w:p w14:paraId="318EDFE4"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318EDFE5" w14:textId="77777777" w:rsidR="00C3223F" w:rsidRPr="00E951B7" w:rsidRDefault="00C3223F" w:rsidP="00A866F5">
            <w:pPr>
              <w:rPr>
                <w:rFonts w:ascii="Arial" w:hAnsi="Arial" w:cs="Arial"/>
                <w:b/>
                <w:sz w:val="22"/>
                <w:szCs w:val="22"/>
              </w:rPr>
            </w:pPr>
            <w:r>
              <w:rPr>
                <w:rFonts w:ascii="Arial" w:hAnsi="Arial"/>
                <w:b/>
                <w:sz w:val="22"/>
                <w:szCs w:val="22"/>
              </w:rPr>
              <w:t>Pripravte profil uchádzača</w:t>
            </w:r>
          </w:p>
        </w:tc>
        <w:tc>
          <w:tcPr>
            <w:tcW w:w="3576" w:type="pct"/>
            <w:tcBorders>
              <w:bottom w:val="single" w:sz="4" w:space="0" w:color="auto"/>
            </w:tcBorders>
            <w:shd w:val="clear" w:color="auto" w:fill="auto"/>
            <w:vAlign w:val="center"/>
          </w:tcPr>
          <w:p w14:paraId="318EDFE6" w14:textId="77777777" w:rsidR="00C3223F" w:rsidRPr="00E951B7" w:rsidRDefault="00C3223F" w:rsidP="00E951B7">
            <w:pPr>
              <w:spacing w:before="120" w:after="120"/>
              <w:rPr>
                <w:rFonts w:ascii="Arial" w:hAnsi="Arial" w:cs="Arial"/>
                <w:sz w:val="22"/>
                <w:szCs w:val="22"/>
              </w:rPr>
            </w:pPr>
            <w:r>
              <w:rPr>
                <w:rFonts w:ascii="Arial" w:hAnsi="Arial"/>
                <w:sz w:val="22"/>
                <w:szCs w:val="22"/>
              </w:rPr>
              <w:t>Aké konkrétne zručnosti, kompetencie a kvalifikácie vyžadujete na plnenie pracovných úloh?</w:t>
            </w:r>
          </w:p>
        </w:tc>
      </w:tr>
      <w:tr w:rsidR="00E04622" w14:paraId="318EDFEA" w14:textId="77777777" w:rsidTr="00A3467B">
        <w:trPr>
          <w:trHeight w:val="567"/>
        </w:trPr>
        <w:tc>
          <w:tcPr>
            <w:tcW w:w="417" w:type="pct"/>
            <w:vMerge/>
            <w:tcBorders>
              <w:right w:val="single" w:sz="4" w:space="0" w:color="auto"/>
            </w:tcBorders>
            <w:shd w:val="clear" w:color="auto" w:fill="auto"/>
            <w:vAlign w:val="center"/>
          </w:tcPr>
          <w:p w14:paraId="318EDFE8"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318EDFE9" w14:textId="77777777" w:rsidR="004B66E2" w:rsidRPr="00E951B7" w:rsidRDefault="004B66E2" w:rsidP="00584FF5">
            <w:pPr>
              <w:ind w:left="1814"/>
              <w:rPr>
                <w:rFonts w:ascii="Arial" w:hAnsi="Arial" w:cs="Arial"/>
                <w:sz w:val="22"/>
                <w:szCs w:val="22"/>
              </w:rPr>
            </w:pPr>
            <w:r>
              <w:rPr>
                <w:rFonts w:ascii="Arial" w:hAnsi="Arial"/>
                <w:i/>
                <w:sz w:val="22"/>
                <w:szCs w:val="22"/>
              </w:rPr>
              <w:t xml:space="preserve">Ak sa rozhodnete zamestnať pracovníkov zo zahraničia, </w:t>
            </w:r>
          </w:p>
        </w:tc>
      </w:tr>
      <w:tr w:rsidR="00E04622" w14:paraId="318EDFEE" w14:textId="77777777" w:rsidTr="00B06F9D">
        <w:trPr>
          <w:trHeight w:val="1020"/>
        </w:trPr>
        <w:tc>
          <w:tcPr>
            <w:tcW w:w="417" w:type="pct"/>
            <w:vMerge/>
            <w:shd w:val="clear" w:color="auto" w:fill="auto"/>
            <w:vAlign w:val="center"/>
          </w:tcPr>
          <w:p w14:paraId="318EDFEB"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318EDFEC"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Vypracujte plán </w:t>
            </w:r>
          </w:p>
        </w:tc>
        <w:tc>
          <w:tcPr>
            <w:tcW w:w="3576" w:type="pct"/>
            <w:tcBorders>
              <w:top w:val="nil"/>
            </w:tcBorders>
            <w:shd w:val="clear" w:color="auto" w:fill="auto"/>
            <w:vAlign w:val="center"/>
          </w:tcPr>
          <w:p w14:paraId="318EDFED" w14:textId="77777777" w:rsidR="00C3223F" w:rsidRPr="00E951B7" w:rsidRDefault="00C3223F" w:rsidP="00E951B7">
            <w:pPr>
              <w:spacing w:after="120"/>
              <w:rPr>
                <w:rFonts w:ascii="Arial" w:hAnsi="Arial" w:cs="Arial"/>
                <w:sz w:val="22"/>
                <w:szCs w:val="22"/>
              </w:rPr>
            </w:pPr>
            <w:r>
              <w:rPr>
                <w:rFonts w:ascii="Arial" w:hAnsi="Arial"/>
                <w:sz w:val="22"/>
                <w:szCs w:val="22"/>
              </w:rPr>
              <w:t>stanovte ciele, výhody, riziká a náklady spojené s prijatím pracovníkov zo zahraničia do zamestnania. Určte si lehoty, keďže hľadanie uchádzačov zo zahraničia môže trvať dlhšie.</w:t>
            </w:r>
          </w:p>
        </w:tc>
      </w:tr>
      <w:tr w:rsidR="00E04622" w14:paraId="318EDFF3" w14:textId="77777777" w:rsidTr="00B06F9D">
        <w:trPr>
          <w:trHeight w:val="1417"/>
        </w:trPr>
        <w:tc>
          <w:tcPr>
            <w:tcW w:w="417" w:type="pct"/>
            <w:vMerge/>
            <w:shd w:val="clear" w:color="auto" w:fill="auto"/>
            <w:vAlign w:val="center"/>
          </w:tcPr>
          <w:p w14:paraId="318EDFEF"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318EDFF0" w14:textId="77777777" w:rsidR="00C3223F" w:rsidRPr="00E951B7" w:rsidRDefault="00C3223F" w:rsidP="008768AF">
            <w:pPr>
              <w:pStyle w:val="Heading1"/>
              <w:rPr>
                <w:rFonts w:ascii="Arial" w:hAnsi="Arial" w:cs="Arial"/>
                <w:sz w:val="22"/>
                <w:szCs w:val="22"/>
              </w:rPr>
            </w:pPr>
            <w:r>
              <w:rPr>
                <w:rFonts w:ascii="Arial" w:hAnsi="Arial"/>
                <w:sz w:val="22"/>
                <w:szCs w:val="22"/>
              </w:rPr>
              <w:t>Obráťte sa na príslušné orgány</w:t>
            </w:r>
          </w:p>
          <w:p w14:paraId="318EDFF1" w14:textId="77777777" w:rsidR="00C3223F" w:rsidRPr="00E951B7" w:rsidRDefault="00C3223F" w:rsidP="008768AF">
            <w:pPr>
              <w:rPr>
                <w:rFonts w:ascii="Arial" w:hAnsi="Arial" w:cs="Arial"/>
                <w:sz w:val="20"/>
                <w:szCs w:val="20"/>
              </w:rPr>
            </w:pPr>
            <w:r>
              <w:rPr>
                <w:rFonts w:ascii="Arial" w:hAnsi="Arial"/>
                <w:i/>
                <w:sz w:val="20"/>
                <w:szCs w:val="20"/>
              </w:rPr>
              <w:t>(registrácia cudzincov alebo podobná služba vo vašej krajine)</w:t>
            </w:r>
          </w:p>
        </w:tc>
        <w:tc>
          <w:tcPr>
            <w:tcW w:w="3576" w:type="pct"/>
            <w:shd w:val="clear" w:color="auto" w:fill="auto"/>
            <w:vAlign w:val="center"/>
          </w:tcPr>
          <w:p w14:paraId="318EDFF2"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Zistite, či pri nábore cudzieho štátneho príslušníka musíte podniknúť ďalšie kroky. Musia sa osobitne zaregistrovať alebo zaplatiť nejaké poplatky? </w:t>
            </w:r>
          </w:p>
        </w:tc>
      </w:tr>
      <w:tr w:rsidR="00E04622" w14:paraId="318EDFF7" w14:textId="77777777" w:rsidTr="00B06F9D">
        <w:trPr>
          <w:cantSplit/>
          <w:trHeight w:val="1757"/>
        </w:trPr>
        <w:tc>
          <w:tcPr>
            <w:tcW w:w="417" w:type="pct"/>
            <w:vMerge w:val="restart"/>
            <w:shd w:val="clear" w:color="auto" w:fill="auto"/>
            <w:textDirection w:val="btLr"/>
            <w:vAlign w:val="center"/>
          </w:tcPr>
          <w:p w14:paraId="318EDFF4"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Právne požiadavky a vyslaní pracovníci</w:t>
            </w:r>
          </w:p>
        </w:tc>
        <w:tc>
          <w:tcPr>
            <w:tcW w:w="1007" w:type="pct"/>
            <w:shd w:val="clear" w:color="auto" w:fill="auto"/>
            <w:vAlign w:val="center"/>
          </w:tcPr>
          <w:p w14:paraId="318EDFF5" w14:textId="77777777" w:rsidR="00E40C1E" w:rsidRPr="00E951B7" w:rsidRDefault="00F76B25" w:rsidP="008768AF">
            <w:pPr>
              <w:pStyle w:val="Heading1"/>
              <w:rPr>
                <w:rFonts w:ascii="Arial" w:hAnsi="Arial" w:cs="Arial"/>
                <w:sz w:val="22"/>
                <w:szCs w:val="22"/>
              </w:rPr>
            </w:pPr>
            <w:r>
              <w:rPr>
                <w:rFonts w:ascii="Arial" w:hAnsi="Arial"/>
                <w:sz w:val="22"/>
                <w:szCs w:val="22"/>
              </w:rPr>
              <w:t>Postupy registrácie a pracovné povolenia</w:t>
            </w:r>
          </w:p>
        </w:tc>
        <w:tc>
          <w:tcPr>
            <w:tcW w:w="3576" w:type="pct"/>
            <w:shd w:val="clear" w:color="auto" w:fill="auto"/>
            <w:vAlign w:val="center"/>
          </w:tcPr>
          <w:p w14:paraId="318EDFF6" w14:textId="6D1D96C3" w:rsidR="00E40C1E" w:rsidRPr="00E951B7" w:rsidRDefault="00F76B25" w:rsidP="008B66BE">
            <w:pPr>
              <w:rPr>
                <w:rFonts w:ascii="Arial" w:hAnsi="Arial" w:cs="Arial"/>
                <w:sz w:val="22"/>
                <w:szCs w:val="22"/>
              </w:rPr>
            </w:pPr>
            <w:r>
              <w:rPr>
                <w:rFonts w:ascii="Arial" w:hAnsi="Arial"/>
                <w:sz w:val="22"/>
                <w:szCs w:val="22"/>
              </w:rPr>
              <w:t xml:space="preserve">Chcete zamestnať pracovníkov z iných krajín Európskeho hospodárskeho priestoru (EHP) a potrebujete viac informácií o postupoch registrácie a pracovných povoleniach? Ak áno, prejdite na časť </w:t>
            </w:r>
            <w:hyperlink r:id="rId7" w:history="1">
              <w:r>
                <w:rPr>
                  <w:rStyle w:val="Hyperlink"/>
                  <w:rFonts w:ascii="Arial" w:hAnsi="Arial"/>
                  <w:sz w:val="22"/>
                  <w:szCs w:val="22"/>
                </w:rPr>
                <w:t>Život a práca</w:t>
              </w:r>
            </w:hyperlink>
            <w:r>
              <w:rPr>
                <w:rFonts w:ascii="Arial" w:hAnsi="Arial"/>
                <w:sz w:val="22"/>
                <w:szCs w:val="22"/>
              </w:rPr>
              <w:t xml:space="preserve"> na portáli EURES, kde sa uvádzajú informácie o postupoch registrácie a pracovných povoleniach v každej krajine.</w:t>
            </w:r>
          </w:p>
        </w:tc>
      </w:tr>
      <w:tr w:rsidR="00E04622" w14:paraId="318EDFFB" w14:textId="77777777" w:rsidTr="0015494D">
        <w:trPr>
          <w:trHeight w:val="1361"/>
        </w:trPr>
        <w:tc>
          <w:tcPr>
            <w:tcW w:w="417" w:type="pct"/>
            <w:vMerge/>
            <w:shd w:val="clear" w:color="auto" w:fill="auto"/>
            <w:vAlign w:val="center"/>
          </w:tcPr>
          <w:p w14:paraId="318EDFF8"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18EDFF9" w14:textId="77777777" w:rsidR="00E40C1E" w:rsidRPr="00E951B7" w:rsidRDefault="00F76B25" w:rsidP="00A866F5">
            <w:pPr>
              <w:pStyle w:val="Heading1"/>
              <w:rPr>
                <w:rFonts w:ascii="Arial" w:hAnsi="Arial" w:cs="Arial"/>
                <w:sz w:val="22"/>
                <w:szCs w:val="22"/>
              </w:rPr>
            </w:pPr>
            <w:r>
              <w:rPr>
                <w:rFonts w:ascii="Arial" w:hAnsi="Arial"/>
                <w:sz w:val="22"/>
                <w:szCs w:val="22"/>
              </w:rPr>
              <w:t>Prechodné ustanovenia upravujúce voľný pohyb pracovníkov</w:t>
            </w:r>
          </w:p>
        </w:tc>
        <w:tc>
          <w:tcPr>
            <w:tcW w:w="3576" w:type="pct"/>
            <w:shd w:val="clear" w:color="auto" w:fill="auto"/>
            <w:vAlign w:val="center"/>
          </w:tcPr>
          <w:p w14:paraId="318EDFFA" w14:textId="7FC20F88" w:rsidR="00E40C1E" w:rsidRPr="00E951B7" w:rsidRDefault="00F76B25" w:rsidP="004A2234">
            <w:pPr>
              <w:rPr>
                <w:rFonts w:ascii="Arial" w:hAnsi="Arial" w:cs="Arial"/>
                <w:sz w:val="22"/>
                <w:szCs w:val="22"/>
              </w:rPr>
            </w:pPr>
            <w:r>
              <w:rPr>
                <w:rFonts w:ascii="Arial" w:hAnsi="Arial"/>
                <w:sz w:val="22"/>
                <w:szCs w:val="22"/>
              </w:rPr>
              <w:t xml:space="preserve">Ak chcete získať informácie o prechodných ustanoveniach upravujúcich voľný pohyb pracovníkov z nových členských štátov, medzi nimi a do nich, navštívte časť </w:t>
            </w:r>
            <w:hyperlink r:id="rId8" w:history="1">
              <w:r>
                <w:rPr>
                  <w:rStyle w:val="Hyperlink"/>
                  <w:rFonts w:ascii="Arial" w:hAnsi="Arial"/>
                  <w:sz w:val="22"/>
                  <w:szCs w:val="22"/>
                </w:rPr>
                <w:t>Voľný pohyb pracovníkov</w:t>
              </w:r>
            </w:hyperlink>
            <w:r>
              <w:rPr>
                <w:rFonts w:ascii="Arial" w:hAnsi="Arial"/>
                <w:sz w:val="18"/>
                <w:szCs w:val="18"/>
              </w:rPr>
              <w:t xml:space="preserve"> </w:t>
            </w:r>
            <w:r>
              <w:rPr>
                <w:rFonts w:ascii="Arial" w:hAnsi="Arial"/>
                <w:sz w:val="22"/>
                <w:szCs w:val="22"/>
              </w:rPr>
              <w:t xml:space="preserve">na portáli </w:t>
            </w:r>
            <w:proofErr w:type="spellStart"/>
            <w:r>
              <w:rPr>
                <w:rFonts w:ascii="Arial" w:hAnsi="Arial"/>
                <w:sz w:val="22"/>
                <w:szCs w:val="22"/>
              </w:rPr>
              <w:t>Europa</w:t>
            </w:r>
            <w:proofErr w:type="spellEnd"/>
            <w:r>
              <w:rPr>
                <w:rFonts w:ascii="Arial" w:hAnsi="Arial"/>
                <w:sz w:val="22"/>
                <w:szCs w:val="22"/>
              </w:rPr>
              <w:t>.</w:t>
            </w:r>
          </w:p>
        </w:tc>
      </w:tr>
      <w:tr w:rsidR="00E04622" w14:paraId="318EE001" w14:textId="77777777" w:rsidTr="0015494D">
        <w:trPr>
          <w:trHeight w:val="3912"/>
        </w:trPr>
        <w:tc>
          <w:tcPr>
            <w:tcW w:w="417" w:type="pct"/>
            <w:vMerge/>
            <w:shd w:val="clear" w:color="auto" w:fill="auto"/>
            <w:vAlign w:val="center"/>
          </w:tcPr>
          <w:p w14:paraId="318EDFFC"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318EDFFD" w14:textId="77777777" w:rsidR="00CB34E5" w:rsidRPr="00E951B7" w:rsidRDefault="00F76B25" w:rsidP="00E951B7">
            <w:pPr>
              <w:pStyle w:val="Heading1"/>
              <w:rPr>
                <w:b w:val="0"/>
              </w:rPr>
            </w:pPr>
            <w:r>
              <w:rPr>
                <w:rFonts w:ascii="Arial" w:hAnsi="Arial"/>
                <w:sz w:val="22"/>
                <w:szCs w:val="22"/>
              </w:rPr>
              <w:t>Vyslaní pracovníci</w:t>
            </w:r>
          </w:p>
        </w:tc>
        <w:tc>
          <w:tcPr>
            <w:tcW w:w="3576" w:type="pct"/>
            <w:shd w:val="clear" w:color="auto" w:fill="auto"/>
            <w:vAlign w:val="center"/>
          </w:tcPr>
          <w:p w14:paraId="318EDFFE" w14:textId="77777777" w:rsidR="00861F67" w:rsidRPr="00E951B7" w:rsidRDefault="00F76B25" w:rsidP="008768AF">
            <w:pPr>
              <w:rPr>
                <w:rFonts w:ascii="Arial" w:hAnsi="Arial" w:cs="Arial"/>
                <w:sz w:val="22"/>
                <w:szCs w:val="22"/>
              </w:rPr>
            </w:pPr>
            <w:r>
              <w:rPr>
                <w:rFonts w:ascii="Arial" w:hAnsi="Arial"/>
                <w:sz w:val="22"/>
                <w:szCs w:val="22"/>
              </w:rPr>
              <w:t>Vyslaný pracovník je osoba, ktorá počas vymedzeného obdobia pracuje mimo členského štátu, v ktorom zvyčajne pracuje. Ak vaša organizácia bude potrebovať vyslať pracovníkov do iného členského štátu, budete sa musieť oboznámiť s príslušnými pravidlami a postupmi.</w:t>
            </w:r>
          </w:p>
          <w:p w14:paraId="318EDFFF" w14:textId="2CC57CE8" w:rsidR="001E48BB" w:rsidRPr="00E951B7" w:rsidRDefault="00051FD4" w:rsidP="008768AF">
            <w:pPr>
              <w:rPr>
                <w:rFonts w:ascii="Arial" w:hAnsi="Arial" w:cs="Arial"/>
                <w:sz w:val="22"/>
                <w:szCs w:val="22"/>
              </w:rPr>
            </w:pPr>
            <w:r>
              <w:rPr>
                <w:rFonts w:ascii="Arial" w:hAnsi="Arial"/>
                <w:sz w:val="22"/>
                <w:szCs w:val="22"/>
              </w:rPr>
              <w:t xml:space="preserve">Informácie možno nájsť v časti </w:t>
            </w:r>
            <w:hyperlink r:id="rId9" w:history="1">
              <w:r>
                <w:rPr>
                  <w:rStyle w:val="Hyperlink"/>
                  <w:rFonts w:ascii="Arial" w:hAnsi="Arial"/>
                  <w:sz w:val="22"/>
                  <w:szCs w:val="22"/>
                </w:rPr>
                <w:t>Vyslaní pracovníci</w:t>
              </w:r>
            </w:hyperlink>
            <w:r>
              <w:rPr>
                <w:rFonts w:ascii="Arial" w:hAnsi="Arial"/>
                <w:sz w:val="22"/>
                <w:szCs w:val="22"/>
              </w:rPr>
              <w:t xml:space="preserve"> na portáli </w:t>
            </w:r>
            <w:proofErr w:type="spellStart"/>
            <w:r>
              <w:rPr>
                <w:rFonts w:ascii="Arial" w:hAnsi="Arial"/>
                <w:sz w:val="22"/>
                <w:szCs w:val="22"/>
              </w:rPr>
              <w:t>Europa</w:t>
            </w:r>
            <w:proofErr w:type="spellEnd"/>
            <w:r>
              <w:rPr>
                <w:rFonts w:ascii="Arial" w:hAnsi="Arial"/>
                <w:sz w:val="22"/>
                <w:szCs w:val="22"/>
              </w:rPr>
              <w:t>. Pozrite si aj stránku s informáciami a kontaktnými údajmi jednotlivých krajín.</w:t>
            </w:r>
          </w:p>
          <w:p w14:paraId="318EE000" w14:textId="516B51F5" w:rsidR="00694FF6" w:rsidRPr="003C6DAE" w:rsidRDefault="001E48BB" w:rsidP="00584FF5">
            <w:r>
              <w:rPr>
                <w:rFonts w:ascii="Arial" w:hAnsi="Arial"/>
                <w:sz w:val="22"/>
                <w:szCs w:val="22"/>
              </w:rPr>
              <w:t xml:space="preserve">Okrem toho si môžete stiahnuť a prečítať </w:t>
            </w:r>
            <w:hyperlink r:id="rId10" w:history="1">
              <w:r w:rsidRPr="00DF3594">
                <w:rPr>
                  <w:rStyle w:val="Hyperlink"/>
                  <w:rFonts w:ascii="Arial" w:hAnsi="Arial"/>
                  <w:i/>
                  <w:sz w:val="22"/>
                  <w:szCs w:val="22"/>
                </w:rPr>
                <w:t>Praktickú príručku pre vysielanie pracovníkov v členských štátoch Európskej únie, Európskom hospodárskom priestore a vo Švajčiarsku</w:t>
              </w:r>
            </w:hyperlink>
            <w:r>
              <w:rPr>
                <w:rFonts w:ascii="Arial" w:hAnsi="Arial"/>
                <w:sz w:val="18"/>
                <w:szCs w:val="18"/>
              </w:rPr>
              <w:t xml:space="preserve"> </w:t>
            </w:r>
            <w:r>
              <w:rPr>
                <w:rFonts w:ascii="Arial" w:hAnsi="Arial"/>
                <w:sz w:val="22"/>
                <w:szCs w:val="22"/>
              </w:rPr>
              <w:t xml:space="preserve">alebo navštívte </w:t>
            </w:r>
            <w:hyperlink r:id="rId11" w:history="1">
              <w:r>
                <w:rPr>
                  <w:rStyle w:val="Hyperlink"/>
                  <w:rFonts w:ascii="Arial" w:hAnsi="Arial"/>
                  <w:sz w:val="22"/>
                  <w:szCs w:val="22"/>
                </w:rPr>
                <w:t>webovú stránku nadácie Eurofound</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318EE005" w14:textId="77777777" w:rsidTr="00A3467B">
        <w:trPr>
          <w:cantSplit/>
          <w:trHeight w:val="1417"/>
        </w:trPr>
        <w:tc>
          <w:tcPr>
            <w:tcW w:w="417" w:type="pct"/>
            <w:shd w:val="clear" w:color="auto" w:fill="auto"/>
            <w:textDirection w:val="btLr"/>
            <w:vAlign w:val="center"/>
          </w:tcPr>
          <w:p w14:paraId="318EE002"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Praktické záležitosti</w:t>
            </w:r>
          </w:p>
        </w:tc>
        <w:tc>
          <w:tcPr>
            <w:tcW w:w="1007" w:type="pct"/>
            <w:shd w:val="clear" w:color="auto" w:fill="auto"/>
            <w:vAlign w:val="center"/>
          </w:tcPr>
          <w:p w14:paraId="318EE003" w14:textId="77777777" w:rsidR="001B769C" w:rsidRPr="00E951B7" w:rsidRDefault="00D31040" w:rsidP="00E951B7">
            <w:pPr>
              <w:pStyle w:val="Heading1"/>
              <w:rPr>
                <w:rFonts w:ascii="Arial" w:hAnsi="Arial" w:cs="Arial"/>
                <w:sz w:val="22"/>
                <w:szCs w:val="22"/>
              </w:rPr>
            </w:pPr>
            <w:r>
              <w:rPr>
                <w:rFonts w:ascii="Arial" w:hAnsi="Arial"/>
                <w:bCs w:val="0"/>
                <w:sz w:val="22"/>
                <w:szCs w:val="22"/>
              </w:rPr>
              <w:t>Ubytovanie/bývanie</w:t>
            </w:r>
          </w:p>
        </w:tc>
        <w:tc>
          <w:tcPr>
            <w:tcW w:w="3576" w:type="pct"/>
            <w:shd w:val="clear" w:color="auto" w:fill="auto"/>
            <w:vAlign w:val="center"/>
          </w:tcPr>
          <w:p w14:paraId="318EE004" w14:textId="77777777" w:rsidR="00C3223F" w:rsidRPr="00E951B7" w:rsidRDefault="00D31040" w:rsidP="00E951B7">
            <w:pPr>
              <w:spacing w:before="120" w:after="120"/>
              <w:rPr>
                <w:rFonts w:ascii="Arial" w:hAnsi="Arial" w:cs="Arial"/>
                <w:sz w:val="22"/>
                <w:szCs w:val="22"/>
              </w:rPr>
            </w:pPr>
            <w:r>
              <w:rPr>
                <w:rFonts w:ascii="Arial" w:hAnsi="Arial"/>
                <w:bCs/>
                <w:sz w:val="22"/>
                <w:szCs w:val="22"/>
              </w:rPr>
              <w:t>Zamyslite sa nad praktickými krokmi, ktoré bude nový zamestnanec zo zahraničia musieť podniknúť, aby si našiel ubytovanie alebo bývanie. Je v danej oblasti dostupné bývanie? Ako ho možno nájsť a koľko stojí? Viete novému zamestnancovi poradiť alebo poskytnúť mu pomoc?</w:t>
            </w:r>
            <w:r>
              <w:rPr>
                <w:rFonts w:ascii="Arial" w:hAnsi="Arial"/>
                <w:sz w:val="22"/>
                <w:szCs w:val="22"/>
              </w:rPr>
              <w:t xml:space="preserve"> </w:t>
            </w:r>
          </w:p>
        </w:tc>
      </w:tr>
      <w:tr w:rsidR="00E04622" w14:paraId="318EE009" w14:textId="77777777" w:rsidTr="00A3467B">
        <w:trPr>
          <w:cantSplit/>
          <w:trHeight w:val="1417"/>
        </w:trPr>
        <w:tc>
          <w:tcPr>
            <w:tcW w:w="417" w:type="pct"/>
            <w:vMerge w:val="restart"/>
            <w:shd w:val="clear" w:color="auto" w:fill="auto"/>
            <w:textDirection w:val="btLr"/>
            <w:vAlign w:val="center"/>
          </w:tcPr>
          <w:p w14:paraId="318EE006" w14:textId="77777777" w:rsidR="004A2234" w:rsidRPr="00E951B7" w:rsidRDefault="004A2234" w:rsidP="00E951B7">
            <w:pPr>
              <w:jc w:val="center"/>
              <w:rPr>
                <w:rFonts w:ascii="Arial" w:hAnsi="Arial" w:cs="Arial"/>
                <w:b/>
                <w:sz w:val="20"/>
                <w:szCs w:val="20"/>
              </w:rPr>
            </w:pPr>
            <w:r>
              <w:rPr>
                <w:rFonts w:ascii="Arial" w:hAnsi="Arial"/>
                <w:b/>
                <w:sz w:val="20"/>
                <w:szCs w:val="20"/>
              </w:rPr>
              <w:t>Jazykové, akademické a kultúrne faktory</w:t>
            </w:r>
          </w:p>
        </w:tc>
        <w:tc>
          <w:tcPr>
            <w:tcW w:w="1007" w:type="pct"/>
            <w:shd w:val="clear" w:color="auto" w:fill="auto"/>
            <w:vAlign w:val="center"/>
          </w:tcPr>
          <w:p w14:paraId="318EE007" w14:textId="77777777" w:rsidR="004A2234" w:rsidRPr="00E951B7" w:rsidRDefault="004A2234" w:rsidP="00A866F5">
            <w:pPr>
              <w:pStyle w:val="Heading1"/>
              <w:rPr>
                <w:rFonts w:ascii="Arial" w:hAnsi="Arial" w:cs="Arial"/>
                <w:sz w:val="22"/>
                <w:szCs w:val="22"/>
              </w:rPr>
            </w:pPr>
            <w:r>
              <w:rPr>
                <w:rFonts w:ascii="Arial" w:hAnsi="Arial"/>
                <w:sz w:val="22"/>
                <w:szCs w:val="22"/>
              </w:rPr>
              <w:t>Jazykové bariéry</w:t>
            </w:r>
          </w:p>
        </w:tc>
        <w:tc>
          <w:tcPr>
            <w:tcW w:w="3576" w:type="pct"/>
            <w:shd w:val="clear" w:color="auto" w:fill="auto"/>
            <w:vAlign w:val="center"/>
          </w:tcPr>
          <w:p w14:paraId="318EE008" w14:textId="77777777" w:rsidR="004A2234" w:rsidRPr="00E951B7" w:rsidRDefault="004A2234" w:rsidP="00E951B7">
            <w:pPr>
              <w:spacing w:before="120" w:after="120"/>
              <w:rPr>
                <w:rFonts w:ascii="Arial" w:hAnsi="Arial" w:cs="Arial"/>
                <w:sz w:val="22"/>
                <w:szCs w:val="22"/>
              </w:rPr>
            </w:pPr>
            <w:r>
              <w:rPr>
                <w:rFonts w:ascii="Arial" w:hAnsi="Arial"/>
                <w:sz w:val="22"/>
                <w:szCs w:val="22"/>
              </w:rPr>
              <w:t>Porozmýšľajte nad úrovňou jazykovej kompetencie, ktorú od uchádzača budete vyžadovať. Ak jazyk neovláda plynule, ale aj tak je vhodným kandidátom na pozíciu, dôkladne zvážte, ako spolu budete komunikovať. Pre uchádzača môže byť telefonický pohovor mimoriadne náročný.</w:t>
            </w:r>
          </w:p>
        </w:tc>
      </w:tr>
      <w:tr w:rsidR="00E04622" w14:paraId="318EE00D" w14:textId="77777777" w:rsidTr="00A3467B">
        <w:trPr>
          <w:cantSplit/>
          <w:trHeight w:val="1417"/>
        </w:trPr>
        <w:tc>
          <w:tcPr>
            <w:tcW w:w="417" w:type="pct"/>
            <w:vMerge/>
            <w:shd w:val="clear" w:color="auto" w:fill="auto"/>
            <w:textDirection w:val="btLr"/>
          </w:tcPr>
          <w:p w14:paraId="318EE00A"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318EE00B" w14:textId="77777777" w:rsidR="004A2234" w:rsidRPr="00E951B7" w:rsidRDefault="004A2234" w:rsidP="00A866F5">
            <w:pPr>
              <w:pStyle w:val="Heading1"/>
              <w:rPr>
                <w:rFonts w:ascii="Arial" w:hAnsi="Arial" w:cs="Arial"/>
                <w:sz w:val="22"/>
                <w:szCs w:val="22"/>
              </w:rPr>
            </w:pPr>
            <w:r>
              <w:rPr>
                <w:rFonts w:ascii="Arial" w:hAnsi="Arial"/>
                <w:bCs w:val="0"/>
                <w:sz w:val="22"/>
                <w:szCs w:val="22"/>
              </w:rPr>
              <w:t>Rozdiely medzi krajinami</w:t>
            </w:r>
          </w:p>
        </w:tc>
        <w:tc>
          <w:tcPr>
            <w:tcW w:w="3576" w:type="pct"/>
            <w:shd w:val="clear" w:color="auto" w:fill="auto"/>
            <w:vAlign w:val="center"/>
          </w:tcPr>
          <w:p w14:paraId="318EE00C" w14:textId="77777777" w:rsidR="004A2234" w:rsidRPr="00E951B7" w:rsidRDefault="004A2234" w:rsidP="00E951B7">
            <w:pPr>
              <w:spacing w:before="120" w:after="120"/>
              <w:rPr>
                <w:rFonts w:ascii="Arial" w:hAnsi="Arial" w:cs="Arial"/>
                <w:sz w:val="22"/>
                <w:szCs w:val="22"/>
              </w:rPr>
            </w:pPr>
            <w:r>
              <w:rPr>
                <w:rFonts w:ascii="Arial" w:hAnsi="Arial"/>
                <w:sz w:val="22"/>
                <w:szCs w:val="22"/>
              </w:rPr>
              <w:t>Vnútroštátne pracovné právne predpisy sa líšia a v niektorých krajinách môže byť nábor pracovníkov náročnejší ako v iných. Napríklad je možné, že sa budete musieť zaregistrovať, ak zastupujete personálnu agentúru. Pre začatím náboru zistite, či vám v ňom nebudú brániť administratívne prekážky.</w:t>
            </w:r>
          </w:p>
        </w:tc>
      </w:tr>
      <w:tr w:rsidR="00E04622" w14:paraId="318EE011" w14:textId="77777777" w:rsidTr="00A3467B">
        <w:trPr>
          <w:cantSplit/>
          <w:trHeight w:val="1417"/>
        </w:trPr>
        <w:tc>
          <w:tcPr>
            <w:tcW w:w="417" w:type="pct"/>
            <w:vMerge/>
            <w:shd w:val="clear" w:color="auto" w:fill="auto"/>
            <w:textDirection w:val="btLr"/>
          </w:tcPr>
          <w:p w14:paraId="318EE00E"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318EE00F" w14:textId="77777777" w:rsidR="004A2234" w:rsidRPr="00E951B7" w:rsidRDefault="004A2234" w:rsidP="00A866F5">
            <w:pPr>
              <w:rPr>
                <w:rFonts w:ascii="Arial" w:hAnsi="Arial" w:cs="Arial"/>
                <w:b/>
                <w:sz w:val="22"/>
                <w:szCs w:val="22"/>
              </w:rPr>
            </w:pPr>
            <w:r>
              <w:rPr>
                <w:rFonts w:ascii="Arial" w:hAnsi="Arial"/>
                <w:b/>
                <w:sz w:val="22"/>
                <w:szCs w:val="22"/>
              </w:rPr>
              <w:t>Kultúrne rozdiely</w:t>
            </w:r>
          </w:p>
        </w:tc>
        <w:tc>
          <w:tcPr>
            <w:tcW w:w="3576" w:type="pct"/>
            <w:shd w:val="clear" w:color="auto" w:fill="auto"/>
            <w:vAlign w:val="center"/>
          </w:tcPr>
          <w:p w14:paraId="318EE010" w14:textId="77777777" w:rsidR="004A2234" w:rsidRPr="00E951B7" w:rsidRDefault="004A2234" w:rsidP="00E951B7">
            <w:pPr>
              <w:spacing w:before="120" w:after="120"/>
              <w:rPr>
                <w:rFonts w:ascii="Arial" w:hAnsi="Arial" w:cs="Arial"/>
                <w:sz w:val="22"/>
                <w:szCs w:val="22"/>
              </w:rPr>
            </w:pPr>
            <w:r>
              <w:rPr>
                <w:rFonts w:ascii="Arial" w:hAnsi="Arial"/>
                <w:sz w:val="22"/>
                <w:szCs w:val="22"/>
              </w:rPr>
              <w:t>V závislosti od krajiny sa líšia postupy náboru pracovníkov, ako aj formálne záležitosti medzi zamestnávateľmi a uchádzačmi. Ak sa vám na správaní uchádzača javí niečo zvláštne, môže ísť len o kultúrny rozdiel. Nenechajte sa tým pri rozhodovaní ovplyvniť, namiesto toho sa sústreďte na jeho zručnosti a schopnosti.</w:t>
            </w:r>
          </w:p>
        </w:tc>
      </w:tr>
      <w:tr w:rsidR="00E04622" w14:paraId="318EE015" w14:textId="77777777" w:rsidTr="00A3467B">
        <w:trPr>
          <w:cantSplit/>
          <w:trHeight w:val="1417"/>
        </w:trPr>
        <w:tc>
          <w:tcPr>
            <w:tcW w:w="417" w:type="pct"/>
            <w:vMerge/>
            <w:shd w:val="clear" w:color="auto" w:fill="auto"/>
          </w:tcPr>
          <w:p w14:paraId="318EE012"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318EE013"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Kvalifikácie </w:t>
            </w:r>
          </w:p>
        </w:tc>
        <w:tc>
          <w:tcPr>
            <w:tcW w:w="3576" w:type="pct"/>
            <w:tcBorders>
              <w:bottom w:val="single" w:sz="4" w:space="0" w:color="auto"/>
            </w:tcBorders>
            <w:shd w:val="clear" w:color="auto" w:fill="auto"/>
            <w:vAlign w:val="center"/>
          </w:tcPr>
          <w:p w14:paraId="318EE014" w14:textId="77777777" w:rsidR="004A2234" w:rsidRPr="00E951B7" w:rsidRDefault="004A2234" w:rsidP="00E951B7">
            <w:pPr>
              <w:spacing w:before="120" w:after="120"/>
              <w:rPr>
                <w:rFonts w:ascii="Arial" w:hAnsi="Arial" w:cs="Arial"/>
                <w:sz w:val="22"/>
                <w:szCs w:val="22"/>
              </w:rPr>
            </w:pPr>
            <w:r>
              <w:rPr>
                <w:rFonts w:ascii="Arial" w:hAnsi="Arial"/>
                <w:sz w:val="22"/>
                <w:szCs w:val="22"/>
              </w:rPr>
              <w:t>Uchádzači o regulované povolania sa budú musieť zaregistrovať na príslušnom úrade, aby sa zabezpečilo, že ich kvalifikácie budú uznané. Siete ENIC-NARIC (</w:t>
            </w:r>
            <w:hyperlink r:id="rId12" w:history="1">
              <w:r>
                <w:rPr>
                  <w:rStyle w:val="Hyperlink"/>
                  <w:rFonts w:ascii="Arial" w:hAnsi="Arial"/>
                  <w:sz w:val="22"/>
                  <w:szCs w:val="22"/>
                </w:rPr>
                <w:t>https://www.enic-naric.net/</w:t>
              </w:r>
            </w:hyperlink>
            <w:r>
              <w:rPr>
                <w:rFonts w:ascii="Arial" w:hAnsi="Arial"/>
                <w:sz w:val="22"/>
                <w:szCs w:val="22"/>
              </w:rPr>
              <w:t>) sú bránou k uznávaniu akademických a odborných kvalifikácií, ako aj odbornej praxe v Európe.</w:t>
            </w:r>
          </w:p>
        </w:tc>
      </w:tr>
      <w:tr w:rsidR="00E04622" w14:paraId="318EE018" w14:textId="77777777" w:rsidTr="00A3467B">
        <w:trPr>
          <w:cantSplit/>
          <w:trHeight w:val="567"/>
        </w:trPr>
        <w:tc>
          <w:tcPr>
            <w:tcW w:w="417" w:type="pct"/>
            <w:vMerge w:val="restart"/>
            <w:shd w:val="clear" w:color="auto" w:fill="auto"/>
            <w:textDirection w:val="btLr"/>
            <w:vAlign w:val="center"/>
          </w:tcPr>
          <w:p w14:paraId="318EE016" w14:textId="77777777" w:rsidR="004A2234" w:rsidRPr="00E951B7" w:rsidRDefault="004A2234" w:rsidP="000D2DC3">
            <w:pPr>
              <w:keepNext/>
              <w:ind w:left="113" w:right="113"/>
              <w:rPr>
                <w:rFonts w:ascii="Arial" w:hAnsi="Arial" w:cs="Arial"/>
                <w:b/>
                <w:color w:val="000000"/>
                <w:sz w:val="20"/>
                <w:szCs w:val="20"/>
              </w:rPr>
            </w:pPr>
            <w:r>
              <w:rPr>
                <w:rFonts w:ascii="Arial" w:hAnsi="Arial"/>
                <w:b/>
                <w:color w:val="000000"/>
                <w:sz w:val="20"/>
                <w:szCs w:val="20"/>
              </w:rPr>
              <w:lastRenderedPageBreak/>
              <w:t>EURES vám pomôže!</w:t>
            </w:r>
          </w:p>
        </w:tc>
        <w:tc>
          <w:tcPr>
            <w:tcW w:w="4583" w:type="pct"/>
            <w:gridSpan w:val="2"/>
            <w:tcBorders>
              <w:bottom w:val="nil"/>
            </w:tcBorders>
            <w:shd w:val="clear" w:color="auto" w:fill="auto"/>
            <w:vAlign w:val="center"/>
          </w:tcPr>
          <w:p w14:paraId="318EE017" w14:textId="77777777" w:rsidR="004A2234" w:rsidRPr="00E951B7" w:rsidRDefault="004A2234" w:rsidP="000D2DC3">
            <w:pPr>
              <w:keepNext/>
              <w:spacing w:before="120" w:after="120"/>
              <w:ind w:left="1814"/>
              <w:rPr>
                <w:rFonts w:ascii="Arial" w:hAnsi="Arial" w:cs="Arial"/>
                <w:sz w:val="22"/>
                <w:szCs w:val="22"/>
              </w:rPr>
            </w:pPr>
            <w:r>
              <w:rPr>
                <w:rFonts w:ascii="Arial" w:hAnsi="Arial"/>
                <w:i/>
                <w:color w:val="000000"/>
                <w:sz w:val="22"/>
                <w:szCs w:val="22"/>
              </w:rPr>
              <w:t>Po zvážení uvedených aspektov,</w:t>
            </w:r>
          </w:p>
        </w:tc>
      </w:tr>
      <w:tr w:rsidR="00E04622" w14:paraId="318EE01D" w14:textId="77777777" w:rsidTr="0015494D">
        <w:trPr>
          <w:cantSplit/>
          <w:trHeight w:val="1871"/>
        </w:trPr>
        <w:tc>
          <w:tcPr>
            <w:tcW w:w="417" w:type="pct"/>
            <w:vMerge/>
            <w:shd w:val="clear" w:color="auto" w:fill="auto"/>
            <w:textDirection w:val="btLr"/>
          </w:tcPr>
          <w:p w14:paraId="318EE019"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318EE01A"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Nájdite svojho miestneho poradcu EURES</w:t>
            </w:r>
          </w:p>
          <w:p w14:paraId="318EE01B" w14:textId="3D3F4109"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 xml:space="preserve">pozri odkaz </w:t>
            </w:r>
            <w:hyperlink r:id="rId13" w:history="1">
              <w:r w:rsidRPr="00B06F9D">
                <w:rPr>
                  <w:rStyle w:val="Hyperlink"/>
                  <w:rFonts w:ascii="Arial" w:hAnsi="Arial"/>
                  <w:i/>
                  <w:sz w:val="20"/>
                  <w:szCs w:val="20"/>
                </w:rPr>
                <w:t>Kontaktujte poradcu EURES</w:t>
              </w:r>
            </w:hyperlink>
            <w:r>
              <w:rPr>
                <w:rFonts w:ascii="Arial" w:hAnsi="Arial"/>
                <w:color w:val="000000"/>
                <w:sz w:val="20"/>
                <w:szCs w:val="20"/>
              </w:rPr>
              <w:t xml:space="preserve"> na portáli EURES</w:t>
            </w:r>
            <w:r>
              <w:rPr>
                <w:rFonts w:ascii="Arial" w:hAnsi="Arial"/>
                <w:i/>
                <w:color w:val="000000"/>
                <w:sz w:val="20"/>
                <w:szCs w:val="20"/>
              </w:rPr>
              <w:t>)</w:t>
            </w:r>
          </w:p>
        </w:tc>
        <w:tc>
          <w:tcPr>
            <w:tcW w:w="3576" w:type="pct"/>
            <w:tcBorders>
              <w:top w:val="nil"/>
            </w:tcBorders>
            <w:shd w:val="clear" w:color="auto" w:fill="auto"/>
            <w:vAlign w:val="center"/>
          </w:tcPr>
          <w:p w14:paraId="318EE01C"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ak potrebujete poradiť, pokiaľ ide o nábor v inej krajine, môžete vyhľadať kontaktné údaje najbližšieho poradcu EURES. Kontaktujte miestneho poradcu EURES vo vašej blízkosti, pretože vďaka nemu získate prístup k ďalším kontaktom a môže vám poskytnúť viac podrobností k uvedeným informáciám.</w:t>
            </w:r>
          </w:p>
        </w:tc>
      </w:tr>
    </w:tbl>
    <w:p w14:paraId="318EE01E"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E025" w14:textId="77777777" w:rsidR="00050D0F" w:rsidRDefault="00050D0F">
      <w:r>
        <w:separator/>
      </w:r>
    </w:p>
  </w:endnote>
  <w:endnote w:type="continuationSeparator" w:id="0">
    <w:p w14:paraId="318EE026"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E027"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318EE028"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E029"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318EE02A"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E023" w14:textId="77777777" w:rsidR="00050D0F" w:rsidRDefault="00050D0F">
      <w:r>
        <w:separator/>
      </w:r>
    </w:p>
  </w:footnote>
  <w:footnote w:type="continuationSeparator" w:id="0">
    <w:p w14:paraId="318EE024"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D2DC3"/>
    <w:rsid w:val="000F08AC"/>
    <w:rsid w:val="000F2865"/>
    <w:rsid w:val="00100A8B"/>
    <w:rsid w:val="001012FF"/>
    <w:rsid w:val="00114446"/>
    <w:rsid w:val="0011596B"/>
    <w:rsid w:val="0015494D"/>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0704"/>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06F9D"/>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3594"/>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18EDFD8"/>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sk" TargetMode="External"/><Relationship Id="rId13" Type="http://schemas.openxmlformats.org/officeDocument/2006/relationships/hyperlink" Target="https://europa.eu/eures/portal/um/search-for-advisers?lang=sk" TargetMode="External"/><Relationship Id="rId3" Type="http://schemas.openxmlformats.org/officeDocument/2006/relationships/webSettings" Target="webSettings.xml"/><Relationship Id="rId7" Type="http://schemas.openxmlformats.org/officeDocument/2006/relationships/hyperlink" Target="https://eures.europa.eu/living-and-working_sk"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ld=471&amp;langld=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4296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9</cp:revision>
  <cp:lastPrinted>2007-07-12T11:38:00Z</cp:lastPrinted>
  <dcterms:created xsi:type="dcterms:W3CDTF">2021-05-26T07:30:00Z</dcterms:created>
  <dcterms:modified xsi:type="dcterms:W3CDTF">2024-04-29T13:34:00Z</dcterms:modified>
</cp:coreProperties>
</file>