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65FB"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2ECD6642" wp14:editId="2ECD6643">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2ECD664E" w14:textId="77777777" w:rsidR="002000A7" w:rsidRDefault="002000A7" w:rsidP="004D46DF">
                            <w:pPr>
                              <w:spacing w:before="160" w:after="160" w:line="480" w:lineRule="auto"/>
                              <w:jc w:val="center"/>
                            </w:pPr>
                            <w:r>
                              <w:rPr>
                                <w:rFonts w:ascii="Arial" w:hAnsi="Arial"/>
                                <w:b/>
                              </w:rPr>
                              <w:t>Vær oppmerksom på følgende</w:t>
                            </w:r>
                            <w:r>
                              <w:rPr>
                                <w:rFonts w:ascii="Arial" w:hAnsi="Arial"/>
                                <w:b/>
                              </w:rPr>
                              <w:br/>
                            </w:r>
                            <w:r>
                              <w:rPr>
                                <w:rFonts w:ascii="Arial" w:hAnsi="Arial"/>
                                <w:b/>
                                <w:sz w:val="28"/>
                                <w:szCs w:val="28"/>
                                <w:u w:val="single"/>
                              </w:rPr>
                              <w:t>FØR</w:t>
                            </w:r>
                            <w:r>
                              <w:rPr>
                                <w:rFonts w:ascii="Arial" w:hAnsi="Arial"/>
                                <w:b/>
                              </w:rPr>
                              <w:br/>
                              <w:t>rekruttering av arbeidstakere fra utlandet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002000A7" w:rsidP="004D46DF" w:rsidRDefault="002000A7">
                      <w:pPr>
                        <w:spacing w:before="160" w:after="160" w:line="480" w:lineRule="auto"/>
                        <w:jc w:val="center"/>
                      </w:pPr>
                      <w:r>
                        <w:rPr>
                          <w:rFonts w:ascii="Arial" w:hAnsi="Arial"/>
                          <w:b/>
                        </w:rPr>
                        <w:t>Vær oppmerksom på</w:t>
                      </w:r>
                      <w:bookmarkStart w:name="_GoBack" w:id="1"/>
                      <w:bookmarkEnd w:id="1"/>
                      <w:r>
                        <w:rPr>
                          <w:rFonts w:ascii="Arial" w:hAnsi="Arial"/>
                          <w:b/>
                        </w:rPr>
                        <w:t xml:space="preserve"> følgende</w:t>
                      </w:r>
                      <w:r>
                        <w:rPr>
                          <w:rFonts w:ascii="Arial" w:hAnsi="Arial"/>
                          <w:b/>
                        </w:rPr>
                        <w:br/>
                      </w:r>
                      <w:r>
                        <w:rPr>
                          <w:rFonts w:ascii="Arial" w:hAnsi="Arial"/>
                          <w:b/>
                          <w:sz w:val="28"/>
                          <w:szCs w:val="28"/>
                          <w:u w:val="single"/>
                        </w:rPr>
                        <w:t>FØR</w:t>
                      </w:r>
                      <w:r>
                        <w:rPr>
                          <w:rFonts w:ascii="Arial" w:hAnsi="Arial"/>
                          <w:b/>
                        </w:rPr>
                        <w:br/>
                        <w:t>rekruttering av arbeidstakere fra utlandet</w:t>
                      </w:r>
                    </w:p>
                  </w:txbxContent>
                </v:textbox>
              </v:shape>
            </w:pict>
          </mc:Fallback>
        </mc:AlternateContent>
      </w:r>
      <w:r>
        <w:rPr>
          <w:rFonts w:ascii="Arial" w:hAnsi="Arial"/>
          <w:b/>
          <w:noProof/>
          <w:sz w:val="28"/>
          <w:szCs w:val="28"/>
        </w:rPr>
        <w:drawing>
          <wp:inline distT="0" distB="0" distL="0" distR="0" wp14:anchorId="2ECD6644" wp14:editId="2ECD6645">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2ECD65FC" w14:textId="77777777" w:rsidR="00292D82" w:rsidRPr="003C6DAE" w:rsidRDefault="00292D82" w:rsidP="001B769C">
      <w:pPr>
        <w:jc w:val="center"/>
        <w:rPr>
          <w:rFonts w:ascii="Arial" w:hAnsi="Arial" w:cs="Arial"/>
          <w:b/>
          <w:sz w:val="28"/>
          <w:szCs w:val="28"/>
        </w:rPr>
      </w:pPr>
    </w:p>
    <w:p w14:paraId="2ECD65FD" w14:textId="77777777" w:rsidR="008B3B4F" w:rsidRPr="003C6DAE" w:rsidRDefault="008B3B4F" w:rsidP="001B769C">
      <w:pPr>
        <w:jc w:val="center"/>
        <w:rPr>
          <w:rFonts w:ascii="Arial" w:hAnsi="Arial" w:cs="Arial"/>
          <w:b/>
          <w:sz w:val="28"/>
          <w:szCs w:val="28"/>
        </w:rPr>
      </w:pPr>
    </w:p>
    <w:p w14:paraId="2ECD65FE" w14:textId="77777777" w:rsidR="001B769C" w:rsidRPr="003C6DAE" w:rsidRDefault="001B769C"/>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55"/>
        <w:gridCol w:w="5507"/>
      </w:tblGrid>
      <w:tr w:rsidR="00E04622" w14:paraId="2ECD6602" w14:textId="77777777" w:rsidTr="0011522F">
        <w:tc>
          <w:tcPr>
            <w:tcW w:w="528" w:type="pct"/>
            <w:shd w:val="clear" w:color="auto" w:fill="auto"/>
            <w:vAlign w:val="center"/>
          </w:tcPr>
          <w:p w14:paraId="2ECD65FF" w14:textId="77777777" w:rsidR="001B769C" w:rsidRPr="00E951B7" w:rsidRDefault="00950D65" w:rsidP="008768AF">
            <w:pPr>
              <w:pStyle w:val="Heading1"/>
              <w:rPr>
                <w:rFonts w:ascii="Arial" w:hAnsi="Arial" w:cs="Arial"/>
                <w:sz w:val="22"/>
                <w:szCs w:val="22"/>
              </w:rPr>
            </w:pPr>
            <w:r>
              <w:rPr>
                <w:rFonts w:ascii="Arial" w:hAnsi="Arial"/>
                <w:sz w:val="22"/>
                <w:szCs w:val="22"/>
              </w:rPr>
              <w:t>Tenk på ...</w:t>
            </w:r>
          </w:p>
        </w:tc>
        <w:tc>
          <w:tcPr>
            <w:tcW w:w="4472" w:type="pct"/>
            <w:gridSpan w:val="2"/>
            <w:shd w:val="clear" w:color="auto" w:fill="auto"/>
            <w:vAlign w:val="center"/>
          </w:tcPr>
          <w:p w14:paraId="2ECD6600" w14:textId="77777777" w:rsidR="00C3223F" w:rsidRPr="00E951B7" w:rsidRDefault="00C3223F" w:rsidP="008768AF">
            <w:pPr>
              <w:rPr>
                <w:rFonts w:ascii="Arial" w:hAnsi="Arial" w:cs="Arial"/>
                <w:b/>
                <w:sz w:val="22"/>
                <w:szCs w:val="22"/>
              </w:rPr>
            </w:pPr>
          </w:p>
          <w:p w14:paraId="2ECD6601" w14:textId="77777777" w:rsidR="001B769C" w:rsidRPr="00E951B7" w:rsidRDefault="001B769C" w:rsidP="008768AF">
            <w:pPr>
              <w:rPr>
                <w:rFonts w:ascii="Arial" w:hAnsi="Arial" w:cs="Arial"/>
                <w:b/>
                <w:sz w:val="22"/>
                <w:szCs w:val="22"/>
              </w:rPr>
            </w:pPr>
            <w:r>
              <w:rPr>
                <w:rFonts w:ascii="Arial" w:hAnsi="Arial"/>
                <w:b/>
                <w:sz w:val="22"/>
                <w:szCs w:val="22"/>
              </w:rPr>
              <w:t>Tiltak</w:t>
            </w:r>
          </w:p>
        </w:tc>
      </w:tr>
      <w:tr w:rsidR="00E04622" w14:paraId="2ECD6606" w14:textId="77777777" w:rsidTr="0011522F">
        <w:trPr>
          <w:cantSplit/>
          <w:trHeight w:val="1417"/>
        </w:trPr>
        <w:tc>
          <w:tcPr>
            <w:tcW w:w="528" w:type="pct"/>
            <w:vMerge w:val="restart"/>
            <w:shd w:val="clear" w:color="auto" w:fill="auto"/>
            <w:textDirection w:val="btLr"/>
            <w:vAlign w:val="center"/>
          </w:tcPr>
          <w:p w14:paraId="2ECD6603"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Rådgivning og planlegging</w:t>
            </w:r>
          </w:p>
        </w:tc>
        <w:tc>
          <w:tcPr>
            <w:tcW w:w="1527" w:type="pct"/>
            <w:shd w:val="clear" w:color="auto" w:fill="auto"/>
            <w:vAlign w:val="center"/>
          </w:tcPr>
          <w:p w14:paraId="2ECD6604" w14:textId="77777777" w:rsidR="00C3223F" w:rsidRPr="00E951B7" w:rsidRDefault="00C3223F" w:rsidP="00A866F5">
            <w:pPr>
              <w:pStyle w:val="Heading1"/>
              <w:rPr>
                <w:rFonts w:ascii="Arial" w:hAnsi="Arial" w:cs="Arial"/>
                <w:sz w:val="22"/>
                <w:szCs w:val="22"/>
              </w:rPr>
            </w:pPr>
            <w:r>
              <w:rPr>
                <w:rFonts w:ascii="Arial" w:hAnsi="Arial"/>
                <w:sz w:val="22"/>
                <w:szCs w:val="22"/>
              </w:rPr>
              <w:t>Lokale arbeidsformidlingstjenester</w:t>
            </w:r>
          </w:p>
        </w:tc>
        <w:tc>
          <w:tcPr>
            <w:tcW w:w="2945" w:type="pct"/>
            <w:shd w:val="clear" w:color="auto" w:fill="auto"/>
            <w:vAlign w:val="center"/>
          </w:tcPr>
          <w:p w14:paraId="2ECD6605" w14:textId="77777777" w:rsidR="00C3223F" w:rsidRPr="00E951B7" w:rsidRDefault="00C3223F" w:rsidP="00E951B7">
            <w:pPr>
              <w:spacing w:before="120" w:after="120"/>
              <w:rPr>
                <w:rFonts w:ascii="Arial" w:hAnsi="Arial" w:cs="Arial"/>
                <w:sz w:val="22"/>
                <w:szCs w:val="22"/>
              </w:rPr>
            </w:pPr>
            <w:r>
              <w:rPr>
                <w:rFonts w:ascii="Arial" w:hAnsi="Arial"/>
                <w:sz w:val="22"/>
                <w:szCs w:val="22"/>
              </w:rPr>
              <w:t>Før du ser etter kandidater fra utlandet, kan du prøve å kontakte din lokale offentlige arbeidsformidlingstjeneste for å diskutere dine rekrutteringsbehov. Det kan hende at de er i stand til å finne egnede kandidater i landet.</w:t>
            </w:r>
          </w:p>
        </w:tc>
      </w:tr>
      <w:tr w:rsidR="00E04622" w14:paraId="2ECD660A" w14:textId="77777777" w:rsidTr="003C3434">
        <w:trPr>
          <w:trHeight w:val="964"/>
        </w:trPr>
        <w:tc>
          <w:tcPr>
            <w:tcW w:w="528" w:type="pct"/>
            <w:vMerge/>
            <w:tcBorders>
              <w:bottom w:val="single" w:sz="4" w:space="0" w:color="auto"/>
            </w:tcBorders>
            <w:shd w:val="clear" w:color="auto" w:fill="auto"/>
            <w:vAlign w:val="center"/>
          </w:tcPr>
          <w:p w14:paraId="2ECD6607" w14:textId="77777777" w:rsidR="00C3223F" w:rsidRPr="00E951B7" w:rsidRDefault="00C3223F" w:rsidP="008768AF">
            <w:pPr>
              <w:rPr>
                <w:rFonts w:ascii="Arial" w:hAnsi="Arial" w:cs="Arial"/>
                <w:b/>
                <w:sz w:val="22"/>
                <w:szCs w:val="22"/>
              </w:rPr>
            </w:pPr>
          </w:p>
        </w:tc>
        <w:tc>
          <w:tcPr>
            <w:tcW w:w="1527" w:type="pct"/>
            <w:tcBorders>
              <w:bottom w:val="single" w:sz="4" w:space="0" w:color="auto"/>
            </w:tcBorders>
            <w:shd w:val="clear" w:color="auto" w:fill="auto"/>
            <w:vAlign w:val="center"/>
          </w:tcPr>
          <w:p w14:paraId="2ECD6608" w14:textId="77777777" w:rsidR="00C3223F" w:rsidRPr="00E951B7" w:rsidRDefault="00C3223F" w:rsidP="00A866F5">
            <w:pPr>
              <w:rPr>
                <w:rFonts w:ascii="Arial" w:hAnsi="Arial" w:cs="Arial"/>
                <w:b/>
                <w:sz w:val="22"/>
                <w:szCs w:val="22"/>
              </w:rPr>
            </w:pPr>
            <w:r>
              <w:rPr>
                <w:rFonts w:ascii="Arial" w:hAnsi="Arial"/>
                <w:b/>
                <w:sz w:val="22"/>
                <w:szCs w:val="22"/>
              </w:rPr>
              <w:t>Forbered en kandidatprofil</w:t>
            </w:r>
          </w:p>
        </w:tc>
        <w:tc>
          <w:tcPr>
            <w:tcW w:w="2945" w:type="pct"/>
            <w:tcBorders>
              <w:bottom w:val="single" w:sz="4" w:space="0" w:color="auto"/>
            </w:tcBorders>
            <w:shd w:val="clear" w:color="auto" w:fill="auto"/>
            <w:vAlign w:val="center"/>
          </w:tcPr>
          <w:p w14:paraId="2ECD6609" w14:textId="77777777" w:rsidR="00C3223F" w:rsidRPr="00E951B7" w:rsidRDefault="00C3223F" w:rsidP="00E951B7">
            <w:pPr>
              <w:spacing w:before="120" w:after="120"/>
              <w:rPr>
                <w:rFonts w:ascii="Arial" w:hAnsi="Arial" w:cs="Arial"/>
                <w:sz w:val="22"/>
                <w:szCs w:val="22"/>
              </w:rPr>
            </w:pPr>
            <w:r>
              <w:rPr>
                <w:rFonts w:ascii="Arial" w:hAnsi="Arial"/>
                <w:sz w:val="22"/>
                <w:szCs w:val="22"/>
              </w:rPr>
              <w:t>Hvilke spesifikke ferdigheter, kvalifikasjoner og kompetanse er nødvendig for den gjeldende stillingen?</w:t>
            </w:r>
          </w:p>
        </w:tc>
      </w:tr>
      <w:tr w:rsidR="00E04622" w14:paraId="2ECD660D" w14:textId="77777777" w:rsidTr="0011522F">
        <w:trPr>
          <w:trHeight w:val="567"/>
        </w:trPr>
        <w:tc>
          <w:tcPr>
            <w:tcW w:w="528" w:type="pct"/>
            <w:vMerge/>
            <w:tcBorders>
              <w:right w:val="single" w:sz="4" w:space="0" w:color="auto"/>
            </w:tcBorders>
            <w:shd w:val="clear" w:color="auto" w:fill="auto"/>
            <w:vAlign w:val="center"/>
          </w:tcPr>
          <w:p w14:paraId="2ECD660B" w14:textId="77777777" w:rsidR="004B66E2" w:rsidRPr="00E951B7" w:rsidRDefault="004B66E2" w:rsidP="008768AF">
            <w:pPr>
              <w:rPr>
                <w:rFonts w:ascii="Arial" w:hAnsi="Arial" w:cs="Arial"/>
                <w:b/>
                <w:sz w:val="22"/>
                <w:szCs w:val="22"/>
              </w:rPr>
            </w:pPr>
          </w:p>
        </w:tc>
        <w:tc>
          <w:tcPr>
            <w:tcW w:w="4472" w:type="pct"/>
            <w:gridSpan w:val="2"/>
            <w:tcBorders>
              <w:left w:val="single" w:sz="4" w:space="0" w:color="auto"/>
              <w:bottom w:val="nil"/>
            </w:tcBorders>
            <w:shd w:val="clear" w:color="auto" w:fill="auto"/>
            <w:vAlign w:val="center"/>
          </w:tcPr>
          <w:p w14:paraId="2ECD660C" w14:textId="77777777" w:rsidR="004B66E2" w:rsidRPr="00E951B7" w:rsidRDefault="004B66E2" w:rsidP="00584FF5">
            <w:pPr>
              <w:ind w:left="1814"/>
              <w:rPr>
                <w:rFonts w:ascii="Arial" w:hAnsi="Arial" w:cs="Arial"/>
                <w:sz w:val="22"/>
                <w:szCs w:val="22"/>
              </w:rPr>
            </w:pPr>
            <w:r>
              <w:rPr>
                <w:rFonts w:ascii="Arial" w:hAnsi="Arial"/>
                <w:i/>
                <w:sz w:val="22"/>
                <w:szCs w:val="22"/>
              </w:rPr>
              <w:t xml:space="preserve">Hvis du bestemmer deg for å rekruttere fra utlandet, </w:t>
            </w:r>
          </w:p>
        </w:tc>
      </w:tr>
      <w:tr w:rsidR="00E04622" w14:paraId="2ECD6611" w14:textId="77777777" w:rsidTr="002D1371">
        <w:trPr>
          <w:trHeight w:val="1134"/>
        </w:trPr>
        <w:tc>
          <w:tcPr>
            <w:tcW w:w="528" w:type="pct"/>
            <w:vMerge/>
            <w:shd w:val="clear" w:color="auto" w:fill="auto"/>
            <w:vAlign w:val="center"/>
          </w:tcPr>
          <w:p w14:paraId="2ECD660E" w14:textId="77777777" w:rsidR="00C3223F" w:rsidRPr="00E951B7" w:rsidRDefault="00C3223F" w:rsidP="008768AF">
            <w:pPr>
              <w:rPr>
                <w:rFonts w:ascii="Arial" w:hAnsi="Arial" w:cs="Arial"/>
                <w:b/>
                <w:sz w:val="22"/>
                <w:szCs w:val="22"/>
              </w:rPr>
            </w:pPr>
          </w:p>
        </w:tc>
        <w:tc>
          <w:tcPr>
            <w:tcW w:w="1527" w:type="pct"/>
            <w:tcBorders>
              <w:top w:val="nil"/>
            </w:tcBorders>
            <w:shd w:val="clear" w:color="auto" w:fill="auto"/>
            <w:vAlign w:val="center"/>
          </w:tcPr>
          <w:p w14:paraId="2ECD660F"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Lag en plan </w:t>
            </w:r>
          </w:p>
        </w:tc>
        <w:tc>
          <w:tcPr>
            <w:tcW w:w="2945" w:type="pct"/>
            <w:tcBorders>
              <w:top w:val="nil"/>
            </w:tcBorders>
            <w:shd w:val="clear" w:color="auto" w:fill="auto"/>
            <w:vAlign w:val="center"/>
          </w:tcPr>
          <w:p w14:paraId="2ECD6610" w14:textId="77777777" w:rsidR="00C3223F" w:rsidRPr="00E951B7" w:rsidRDefault="00C3223F" w:rsidP="00E951B7">
            <w:pPr>
              <w:spacing w:after="120"/>
              <w:rPr>
                <w:rFonts w:ascii="Arial" w:hAnsi="Arial" w:cs="Arial"/>
                <w:sz w:val="22"/>
                <w:szCs w:val="22"/>
              </w:rPr>
            </w:pPr>
            <w:r>
              <w:rPr>
                <w:rFonts w:ascii="Arial" w:hAnsi="Arial"/>
                <w:sz w:val="22"/>
                <w:szCs w:val="22"/>
              </w:rPr>
              <w:t xml:space="preserve">Lag en oversikt over mål, fordeler, risikofaktorer og kostnader knyttet til rekruttering fra utlandet. </w:t>
            </w:r>
            <w:proofErr w:type="spellStart"/>
            <w:r>
              <w:rPr>
                <w:rFonts w:ascii="Arial" w:hAnsi="Arial"/>
                <w:sz w:val="22"/>
                <w:szCs w:val="22"/>
              </w:rPr>
              <w:t>Beregn</w:t>
            </w:r>
            <w:proofErr w:type="spellEnd"/>
            <w:r>
              <w:rPr>
                <w:rFonts w:ascii="Arial" w:hAnsi="Arial"/>
                <w:sz w:val="22"/>
                <w:szCs w:val="22"/>
              </w:rPr>
              <w:t xml:space="preserve"> fristene dine, da det å finne internasjonale kandidater kan ta lengre tid.</w:t>
            </w:r>
          </w:p>
        </w:tc>
      </w:tr>
      <w:tr w:rsidR="00E04622" w14:paraId="2ECD6616" w14:textId="77777777" w:rsidTr="002D1371">
        <w:trPr>
          <w:trHeight w:val="1474"/>
        </w:trPr>
        <w:tc>
          <w:tcPr>
            <w:tcW w:w="528" w:type="pct"/>
            <w:vMerge/>
            <w:shd w:val="clear" w:color="auto" w:fill="auto"/>
            <w:vAlign w:val="center"/>
          </w:tcPr>
          <w:p w14:paraId="2ECD6612" w14:textId="77777777" w:rsidR="00C3223F" w:rsidRPr="00E951B7" w:rsidRDefault="00C3223F" w:rsidP="008768AF">
            <w:pPr>
              <w:rPr>
                <w:rFonts w:ascii="Arial" w:hAnsi="Arial" w:cs="Arial"/>
                <w:b/>
                <w:sz w:val="22"/>
                <w:szCs w:val="22"/>
              </w:rPr>
            </w:pPr>
          </w:p>
        </w:tc>
        <w:tc>
          <w:tcPr>
            <w:tcW w:w="1527" w:type="pct"/>
            <w:shd w:val="clear" w:color="auto" w:fill="auto"/>
            <w:vAlign w:val="center"/>
          </w:tcPr>
          <w:p w14:paraId="2ECD6613" w14:textId="77777777" w:rsidR="00C3223F" w:rsidRPr="00E951B7" w:rsidRDefault="00C3223F" w:rsidP="008768AF">
            <w:pPr>
              <w:pStyle w:val="Heading1"/>
              <w:rPr>
                <w:rFonts w:ascii="Arial" w:hAnsi="Arial" w:cs="Arial"/>
                <w:sz w:val="22"/>
                <w:szCs w:val="22"/>
              </w:rPr>
            </w:pPr>
            <w:r>
              <w:rPr>
                <w:rFonts w:ascii="Arial" w:hAnsi="Arial"/>
                <w:sz w:val="22"/>
                <w:szCs w:val="22"/>
              </w:rPr>
              <w:t>Kontakt kompetente myndigheter</w:t>
            </w:r>
          </w:p>
          <w:p w14:paraId="2ECD6614" w14:textId="77777777" w:rsidR="00C3223F" w:rsidRPr="00E951B7" w:rsidRDefault="00C3223F" w:rsidP="008768AF">
            <w:pPr>
              <w:rPr>
                <w:rFonts w:ascii="Arial" w:hAnsi="Arial" w:cs="Arial"/>
                <w:sz w:val="20"/>
                <w:szCs w:val="20"/>
              </w:rPr>
            </w:pPr>
            <w:r>
              <w:rPr>
                <w:rFonts w:ascii="Arial" w:hAnsi="Arial"/>
                <w:i/>
                <w:sz w:val="20"/>
                <w:szCs w:val="20"/>
              </w:rPr>
              <w:t>(utlendingsregisteret eller tilsvarende tjenester i ditt land)</w:t>
            </w:r>
          </w:p>
        </w:tc>
        <w:tc>
          <w:tcPr>
            <w:tcW w:w="2945" w:type="pct"/>
            <w:shd w:val="clear" w:color="auto" w:fill="auto"/>
            <w:vAlign w:val="center"/>
          </w:tcPr>
          <w:p w14:paraId="2ECD6615"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Finn ut om du trenger å ta ytterligere skritt for å rekruttere utenlandske statsborgere. Må de registrere seg separat eller betale eventuelle avgifter? </w:t>
            </w:r>
          </w:p>
        </w:tc>
      </w:tr>
      <w:tr w:rsidR="00E04622" w14:paraId="2ECD661A" w14:textId="77777777" w:rsidTr="002D1371">
        <w:trPr>
          <w:cantSplit/>
          <w:trHeight w:val="1757"/>
        </w:trPr>
        <w:tc>
          <w:tcPr>
            <w:tcW w:w="528" w:type="pct"/>
            <w:vMerge w:val="restart"/>
            <w:shd w:val="clear" w:color="auto" w:fill="auto"/>
            <w:textDirection w:val="btLr"/>
            <w:vAlign w:val="center"/>
          </w:tcPr>
          <w:p w14:paraId="2ECD6617"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Juridiske krav og utsendte arbeidstakere</w:t>
            </w:r>
          </w:p>
        </w:tc>
        <w:tc>
          <w:tcPr>
            <w:tcW w:w="1527" w:type="pct"/>
            <w:shd w:val="clear" w:color="auto" w:fill="auto"/>
            <w:vAlign w:val="center"/>
          </w:tcPr>
          <w:p w14:paraId="2ECD6618" w14:textId="77777777" w:rsidR="00E40C1E" w:rsidRPr="00E951B7" w:rsidRDefault="00F76B25" w:rsidP="008768AF">
            <w:pPr>
              <w:pStyle w:val="Heading1"/>
              <w:rPr>
                <w:rFonts w:ascii="Arial" w:hAnsi="Arial" w:cs="Arial"/>
                <w:sz w:val="22"/>
                <w:szCs w:val="22"/>
              </w:rPr>
            </w:pPr>
            <w:r>
              <w:rPr>
                <w:rFonts w:ascii="Arial" w:hAnsi="Arial"/>
                <w:sz w:val="22"/>
                <w:szCs w:val="22"/>
              </w:rPr>
              <w:t>Registreringsprosedyrer og arbeidstillatelser</w:t>
            </w:r>
          </w:p>
        </w:tc>
        <w:tc>
          <w:tcPr>
            <w:tcW w:w="2945" w:type="pct"/>
            <w:shd w:val="clear" w:color="auto" w:fill="auto"/>
            <w:vAlign w:val="center"/>
          </w:tcPr>
          <w:p w14:paraId="2ECD6619" w14:textId="16A80A87" w:rsidR="00E40C1E" w:rsidRPr="00E951B7" w:rsidRDefault="00F76B25" w:rsidP="008B66BE">
            <w:pPr>
              <w:rPr>
                <w:rFonts w:ascii="Arial" w:hAnsi="Arial" w:cs="Arial"/>
                <w:sz w:val="22"/>
                <w:szCs w:val="22"/>
              </w:rPr>
            </w:pPr>
            <w:r>
              <w:rPr>
                <w:rFonts w:ascii="Arial" w:hAnsi="Arial"/>
                <w:sz w:val="22"/>
                <w:szCs w:val="22"/>
              </w:rPr>
              <w:t>Ønsker du å ansette arbeidstakere fra andre land i EØS og trenger mer informasjon om registreringsprosedyrer og arbeidstillatelser? Da kan du se seksjonen «</w:t>
            </w:r>
            <w:hyperlink r:id="rId7" w:history="1">
              <w:r>
                <w:rPr>
                  <w:rStyle w:val="Hyperlink"/>
                  <w:rFonts w:ascii="Arial" w:hAnsi="Arial"/>
                  <w:sz w:val="22"/>
                  <w:szCs w:val="22"/>
                </w:rPr>
                <w:t>Leve- og arbeidsvilkår</w:t>
              </w:r>
            </w:hyperlink>
            <w:r>
              <w:rPr>
                <w:rFonts w:ascii="Arial" w:hAnsi="Arial"/>
                <w:sz w:val="22"/>
                <w:szCs w:val="22"/>
              </w:rPr>
              <w:t>» for å finne ut mer om registreringsprosedyrer og arbeids- og oppholdstillatelser i de enkelte land.</w:t>
            </w:r>
          </w:p>
        </w:tc>
      </w:tr>
      <w:tr w:rsidR="00E04622" w14:paraId="2ECD661E" w14:textId="77777777" w:rsidTr="002D1371">
        <w:trPr>
          <w:trHeight w:val="1417"/>
        </w:trPr>
        <w:tc>
          <w:tcPr>
            <w:tcW w:w="528" w:type="pct"/>
            <w:vMerge/>
            <w:shd w:val="clear" w:color="auto" w:fill="auto"/>
            <w:vAlign w:val="center"/>
          </w:tcPr>
          <w:p w14:paraId="2ECD661B" w14:textId="77777777" w:rsidR="00E40C1E" w:rsidRPr="00E951B7" w:rsidRDefault="00E40C1E" w:rsidP="008768AF">
            <w:pPr>
              <w:rPr>
                <w:rFonts w:ascii="Arial" w:hAnsi="Arial" w:cs="Arial"/>
                <w:b/>
                <w:sz w:val="22"/>
                <w:szCs w:val="22"/>
              </w:rPr>
            </w:pPr>
          </w:p>
        </w:tc>
        <w:tc>
          <w:tcPr>
            <w:tcW w:w="1527" w:type="pct"/>
            <w:shd w:val="clear" w:color="auto" w:fill="auto"/>
            <w:vAlign w:val="center"/>
          </w:tcPr>
          <w:p w14:paraId="2ECD661C" w14:textId="77777777" w:rsidR="00E40C1E" w:rsidRPr="00E951B7" w:rsidRDefault="00F76B25" w:rsidP="00A866F5">
            <w:pPr>
              <w:pStyle w:val="Heading1"/>
              <w:rPr>
                <w:rFonts w:ascii="Arial" w:hAnsi="Arial" w:cs="Arial"/>
                <w:sz w:val="22"/>
                <w:szCs w:val="22"/>
              </w:rPr>
            </w:pPr>
            <w:r>
              <w:rPr>
                <w:rFonts w:ascii="Arial" w:hAnsi="Arial"/>
                <w:sz w:val="22"/>
                <w:szCs w:val="22"/>
              </w:rPr>
              <w:t>Overgangsregler for fri bevegelighet for arbeidstakere</w:t>
            </w:r>
          </w:p>
        </w:tc>
        <w:tc>
          <w:tcPr>
            <w:tcW w:w="2945" w:type="pct"/>
            <w:shd w:val="clear" w:color="auto" w:fill="auto"/>
            <w:vAlign w:val="center"/>
          </w:tcPr>
          <w:p w14:paraId="2ECD661D" w14:textId="10CB0751" w:rsidR="00E40C1E" w:rsidRPr="00E951B7" w:rsidRDefault="00F76B25" w:rsidP="004A2234">
            <w:pPr>
              <w:rPr>
                <w:rFonts w:ascii="Arial" w:hAnsi="Arial" w:cs="Arial"/>
                <w:sz w:val="22"/>
                <w:szCs w:val="22"/>
              </w:rPr>
            </w:pPr>
            <w:r>
              <w:rPr>
                <w:rFonts w:ascii="Arial" w:hAnsi="Arial"/>
                <w:sz w:val="22"/>
                <w:szCs w:val="22"/>
              </w:rPr>
              <w:t>For informasjon om overgangsreglene for fri bevegelighet for arbeidstakere fra, til og mellom de nye medlemslandene, må du besøke seksjonen «</w:t>
            </w:r>
            <w:hyperlink r:id="rId8" w:history="1">
              <w:r>
                <w:rPr>
                  <w:rStyle w:val="Hyperlink"/>
                  <w:rFonts w:ascii="Arial" w:hAnsi="Arial"/>
                  <w:sz w:val="22"/>
                  <w:szCs w:val="22"/>
                </w:rPr>
                <w:t>Fri bevegelighet for arbeidstakere</w:t>
              </w:r>
            </w:hyperlink>
            <w:r>
              <w:rPr>
                <w:rFonts w:ascii="Arial" w:hAnsi="Arial"/>
                <w:sz w:val="22"/>
                <w:szCs w:val="22"/>
              </w:rPr>
              <w:t>» på Europa-portalen.</w:t>
            </w:r>
          </w:p>
        </w:tc>
      </w:tr>
      <w:tr w:rsidR="00E04622" w14:paraId="2ECD6624" w14:textId="77777777" w:rsidTr="002D1371">
        <w:trPr>
          <w:trHeight w:val="4706"/>
        </w:trPr>
        <w:tc>
          <w:tcPr>
            <w:tcW w:w="528" w:type="pct"/>
            <w:vMerge/>
            <w:shd w:val="clear" w:color="auto" w:fill="auto"/>
            <w:vAlign w:val="center"/>
          </w:tcPr>
          <w:p w14:paraId="2ECD661F" w14:textId="77777777" w:rsidR="00E40C1E" w:rsidRPr="00E951B7" w:rsidRDefault="00E40C1E" w:rsidP="008768AF">
            <w:pPr>
              <w:rPr>
                <w:rFonts w:ascii="Arial" w:hAnsi="Arial" w:cs="Arial"/>
                <w:b/>
                <w:sz w:val="22"/>
                <w:szCs w:val="22"/>
              </w:rPr>
            </w:pPr>
          </w:p>
        </w:tc>
        <w:tc>
          <w:tcPr>
            <w:tcW w:w="1527" w:type="pct"/>
            <w:shd w:val="clear" w:color="auto" w:fill="auto"/>
            <w:vAlign w:val="center"/>
          </w:tcPr>
          <w:p w14:paraId="2ECD6620" w14:textId="77777777" w:rsidR="00CB34E5" w:rsidRPr="00E951B7" w:rsidRDefault="00F76B25" w:rsidP="00E951B7">
            <w:pPr>
              <w:pStyle w:val="Heading1"/>
              <w:rPr>
                <w:b w:val="0"/>
              </w:rPr>
            </w:pPr>
            <w:r>
              <w:rPr>
                <w:rFonts w:ascii="Arial" w:hAnsi="Arial"/>
                <w:sz w:val="22"/>
                <w:szCs w:val="22"/>
              </w:rPr>
              <w:t>Utsendte arbeidstakere</w:t>
            </w:r>
          </w:p>
        </w:tc>
        <w:tc>
          <w:tcPr>
            <w:tcW w:w="2945" w:type="pct"/>
            <w:shd w:val="clear" w:color="auto" w:fill="auto"/>
            <w:vAlign w:val="center"/>
          </w:tcPr>
          <w:p w14:paraId="2ECD6621" w14:textId="77777777" w:rsidR="00861F67" w:rsidRPr="00E951B7" w:rsidRDefault="00F76B25" w:rsidP="008768AF">
            <w:pPr>
              <w:rPr>
                <w:rFonts w:ascii="Arial" w:hAnsi="Arial" w:cs="Arial"/>
                <w:sz w:val="22"/>
                <w:szCs w:val="22"/>
              </w:rPr>
            </w:pPr>
            <w:r>
              <w:rPr>
                <w:rFonts w:ascii="Arial" w:hAnsi="Arial"/>
                <w:sz w:val="22"/>
                <w:szCs w:val="22"/>
              </w:rPr>
              <w:t>En utsendt arbeidstaker er en arbeidstaker som arbeider en begrenset periode utenfor den medlemsstaten de vanligvis jobber i. Hvis organisasjonen din trenger å sende arbeidstakere på arbeidsoppdrag til en annen medlemsstat, må du gjøre deg kjent med gjeldende regler og prosedyrer.</w:t>
            </w:r>
          </w:p>
          <w:p w14:paraId="2ECD6622" w14:textId="57E45649" w:rsidR="001E48BB" w:rsidRPr="00E951B7" w:rsidRDefault="00051FD4" w:rsidP="008768AF">
            <w:pPr>
              <w:rPr>
                <w:rFonts w:ascii="Arial" w:hAnsi="Arial" w:cs="Arial"/>
                <w:sz w:val="22"/>
                <w:szCs w:val="22"/>
              </w:rPr>
            </w:pPr>
            <w:r>
              <w:rPr>
                <w:rFonts w:ascii="Arial" w:hAnsi="Arial"/>
                <w:sz w:val="22"/>
                <w:szCs w:val="22"/>
              </w:rPr>
              <w:t>Informasjon om dette er tilgjengelig i seksjonen «</w:t>
            </w:r>
            <w:hyperlink r:id="rId9" w:history="1">
              <w:r>
                <w:rPr>
                  <w:rStyle w:val="Hyperlink"/>
                  <w:rFonts w:ascii="Arial" w:hAnsi="Arial"/>
                  <w:sz w:val="22"/>
                  <w:szCs w:val="22"/>
                </w:rPr>
                <w:t>Utsendte arbeidstakere</w:t>
              </w:r>
            </w:hyperlink>
            <w:r>
              <w:rPr>
                <w:rFonts w:ascii="Arial" w:hAnsi="Arial"/>
                <w:sz w:val="22"/>
                <w:szCs w:val="22"/>
              </w:rPr>
              <w:t>» på Europa-portalen. Se også det nasjonale nettstedet for informasjon og kontaktopplysninger.</w:t>
            </w:r>
          </w:p>
          <w:p w14:paraId="2ECD6623" w14:textId="136AF76C" w:rsidR="00694FF6" w:rsidRPr="003C6DAE" w:rsidRDefault="001E48BB" w:rsidP="00584FF5">
            <w:r>
              <w:rPr>
                <w:rFonts w:ascii="Arial" w:hAnsi="Arial"/>
                <w:sz w:val="22"/>
                <w:szCs w:val="22"/>
              </w:rPr>
              <w:t xml:space="preserve">Du kan også konsultere og laste ned den praktiske veiledningen om utsending av arbeidstakere </w:t>
            </w:r>
            <w:r>
              <w:rPr>
                <w:rFonts w:ascii="Arial" w:hAnsi="Arial"/>
                <w:i/>
                <w:sz w:val="22"/>
                <w:szCs w:val="22"/>
              </w:rPr>
              <w:t>«</w:t>
            </w:r>
            <w:hyperlink r:id="rId10" w:history="1">
              <w:r w:rsidRPr="007F043E">
                <w:rPr>
                  <w:rStyle w:val="Hyperlink"/>
                  <w:rFonts w:ascii="Arial" w:hAnsi="Arial"/>
                  <w:i/>
                  <w:sz w:val="22"/>
                  <w:szCs w:val="22"/>
                </w:rPr>
                <w:t>Practical guide for the posting of workers in the Member States of the European Union, and the European Economic Area and in Switzerland</w:t>
              </w:r>
            </w:hyperlink>
            <w:r>
              <w:rPr>
                <w:rFonts w:ascii="Arial" w:hAnsi="Arial"/>
                <w:i/>
                <w:sz w:val="22"/>
                <w:szCs w:val="22"/>
              </w:rPr>
              <w:t>»</w:t>
            </w:r>
            <w:r>
              <w:rPr>
                <w:rFonts w:ascii="Arial" w:hAnsi="Arial"/>
                <w:sz w:val="18"/>
                <w:szCs w:val="18"/>
              </w:rPr>
              <w:t xml:space="preserve"> </w:t>
            </w:r>
            <w:r>
              <w:rPr>
                <w:rFonts w:ascii="Arial" w:hAnsi="Arial"/>
                <w:sz w:val="22"/>
                <w:szCs w:val="22"/>
              </w:rPr>
              <w:t xml:space="preserve">eller besøke </w:t>
            </w:r>
            <w:hyperlink r:id="rId11" w:history="1">
              <w:r>
                <w:rPr>
                  <w:rStyle w:val="Hyperlink"/>
                  <w:rFonts w:ascii="Arial" w:hAnsi="Arial"/>
                  <w:sz w:val="22"/>
                  <w:szCs w:val="22"/>
                </w:rPr>
                <w:t>Eurofound-nettstedet</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2ECD6628" w14:textId="77777777" w:rsidTr="0011522F">
        <w:trPr>
          <w:cantSplit/>
          <w:trHeight w:val="1417"/>
        </w:trPr>
        <w:tc>
          <w:tcPr>
            <w:tcW w:w="528" w:type="pct"/>
            <w:shd w:val="clear" w:color="auto" w:fill="auto"/>
            <w:textDirection w:val="btLr"/>
            <w:vAlign w:val="center"/>
          </w:tcPr>
          <w:p w14:paraId="2ECD6625"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Praktiske forberedelser</w:t>
            </w:r>
          </w:p>
        </w:tc>
        <w:tc>
          <w:tcPr>
            <w:tcW w:w="1527" w:type="pct"/>
            <w:shd w:val="clear" w:color="auto" w:fill="auto"/>
            <w:vAlign w:val="center"/>
          </w:tcPr>
          <w:p w14:paraId="2ECD6626" w14:textId="77777777" w:rsidR="001B769C" w:rsidRPr="00E951B7" w:rsidRDefault="00D31040" w:rsidP="00E951B7">
            <w:pPr>
              <w:pStyle w:val="Heading1"/>
              <w:rPr>
                <w:rFonts w:ascii="Arial" w:hAnsi="Arial" w:cs="Arial"/>
                <w:sz w:val="22"/>
                <w:szCs w:val="22"/>
              </w:rPr>
            </w:pPr>
            <w:r>
              <w:rPr>
                <w:rFonts w:ascii="Arial" w:hAnsi="Arial"/>
                <w:bCs w:val="0"/>
                <w:sz w:val="22"/>
                <w:szCs w:val="22"/>
              </w:rPr>
              <w:t>Overnatting/innlosjering</w:t>
            </w:r>
          </w:p>
        </w:tc>
        <w:tc>
          <w:tcPr>
            <w:tcW w:w="2945" w:type="pct"/>
            <w:shd w:val="clear" w:color="auto" w:fill="auto"/>
            <w:vAlign w:val="center"/>
          </w:tcPr>
          <w:p w14:paraId="2ECD6627" w14:textId="77777777" w:rsidR="00C3223F" w:rsidRPr="00E951B7" w:rsidRDefault="00D31040" w:rsidP="00E951B7">
            <w:pPr>
              <w:spacing w:before="120" w:after="120"/>
              <w:rPr>
                <w:rFonts w:ascii="Arial" w:hAnsi="Arial" w:cs="Arial"/>
                <w:sz w:val="22"/>
                <w:szCs w:val="22"/>
              </w:rPr>
            </w:pPr>
            <w:r>
              <w:rPr>
                <w:rFonts w:ascii="Arial" w:hAnsi="Arial"/>
                <w:bCs/>
                <w:sz w:val="22"/>
                <w:szCs w:val="22"/>
              </w:rPr>
              <w:t>Tenk på de praktiske trinnene som en ny medarbeider fra utlandet må ta for å finne overnatting eller innlosjering. Er det tilgjengelig lokalt? Hvordan kan det ordnes og hvor mye koster det? Kan du gi den nye medarbeideren råd eller støtte?</w:t>
            </w:r>
            <w:r>
              <w:rPr>
                <w:rFonts w:ascii="Arial" w:hAnsi="Arial"/>
                <w:sz w:val="22"/>
                <w:szCs w:val="22"/>
              </w:rPr>
              <w:t xml:space="preserve"> </w:t>
            </w:r>
          </w:p>
        </w:tc>
      </w:tr>
      <w:tr w:rsidR="00E04622" w14:paraId="2ECD662C" w14:textId="77777777" w:rsidTr="0011522F">
        <w:trPr>
          <w:cantSplit/>
          <w:trHeight w:val="1417"/>
        </w:trPr>
        <w:tc>
          <w:tcPr>
            <w:tcW w:w="528" w:type="pct"/>
            <w:vMerge w:val="restart"/>
            <w:shd w:val="clear" w:color="auto" w:fill="auto"/>
            <w:textDirection w:val="btLr"/>
            <w:vAlign w:val="center"/>
          </w:tcPr>
          <w:p w14:paraId="2ECD6629" w14:textId="77777777" w:rsidR="004A2234" w:rsidRPr="00E951B7" w:rsidRDefault="004A2234" w:rsidP="00E951B7">
            <w:pPr>
              <w:jc w:val="center"/>
              <w:rPr>
                <w:rFonts w:ascii="Arial" w:hAnsi="Arial" w:cs="Arial"/>
                <w:b/>
                <w:sz w:val="20"/>
                <w:szCs w:val="20"/>
              </w:rPr>
            </w:pPr>
            <w:r>
              <w:rPr>
                <w:rFonts w:ascii="Arial" w:hAnsi="Arial"/>
                <w:b/>
                <w:sz w:val="20"/>
                <w:szCs w:val="20"/>
              </w:rPr>
              <w:t>Språklige, akademiske og kulturelle faktorer</w:t>
            </w:r>
          </w:p>
        </w:tc>
        <w:tc>
          <w:tcPr>
            <w:tcW w:w="1527" w:type="pct"/>
            <w:shd w:val="clear" w:color="auto" w:fill="auto"/>
            <w:vAlign w:val="center"/>
          </w:tcPr>
          <w:p w14:paraId="2ECD662A" w14:textId="77777777" w:rsidR="004A2234" w:rsidRPr="00E951B7" w:rsidRDefault="004A2234" w:rsidP="00A866F5">
            <w:pPr>
              <w:pStyle w:val="Heading1"/>
              <w:rPr>
                <w:rFonts w:ascii="Arial" w:hAnsi="Arial" w:cs="Arial"/>
                <w:sz w:val="22"/>
                <w:szCs w:val="22"/>
              </w:rPr>
            </w:pPr>
            <w:proofErr w:type="spellStart"/>
            <w:r>
              <w:rPr>
                <w:rFonts w:ascii="Arial" w:hAnsi="Arial"/>
                <w:sz w:val="22"/>
                <w:szCs w:val="22"/>
              </w:rPr>
              <w:t>Språkbarrièrer</w:t>
            </w:r>
            <w:proofErr w:type="spellEnd"/>
          </w:p>
        </w:tc>
        <w:tc>
          <w:tcPr>
            <w:tcW w:w="2945" w:type="pct"/>
            <w:shd w:val="clear" w:color="auto" w:fill="auto"/>
            <w:vAlign w:val="center"/>
          </w:tcPr>
          <w:p w14:paraId="2ECD662B" w14:textId="77777777" w:rsidR="004A2234" w:rsidRPr="00E951B7" w:rsidRDefault="004A2234" w:rsidP="00E951B7">
            <w:pPr>
              <w:spacing w:before="120" w:after="120"/>
              <w:rPr>
                <w:rFonts w:ascii="Arial" w:hAnsi="Arial" w:cs="Arial"/>
                <w:sz w:val="22"/>
                <w:szCs w:val="22"/>
              </w:rPr>
            </w:pPr>
            <w:r>
              <w:rPr>
                <w:rFonts w:ascii="Arial" w:hAnsi="Arial"/>
                <w:sz w:val="22"/>
                <w:szCs w:val="22"/>
              </w:rPr>
              <w:t>Tenk på hvilken språkkompetanse som kreves av kandidatene dine. Hvis de ikke snakker språket flytende, men likevel passer til jobben, bør du tenke nøye gjennom hvordan du kommer til å kommunisere med dem. Kandidaten kan oppleve telefonintervjuer som spesielt vanskelige.</w:t>
            </w:r>
          </w:p>
        </w:tc>
      </w:tr>
      <w:tr w:rsidR="00E04622" w14:paraId="2ECD6630" w14:textId="77777777" w:rsidTr="0011522F">
        <w:trPr>
          <w:cantSplit/>
          <w:trHeight w:val="1417"/>
        </w:trPr>
        <w:tc>
          <w:tcPr>
            <w:tcW w:w="528" w:type="pct"/>
            <w:vMerge/>
            <w:shd w:val="clear" w:color="auto" w:fill="auto"/>
            <w:textDirection w:val="btLr"/>
          </w:tcPr>
          <w:p w14:paraId="2ECD662D" w14:textId="77777777" w:rsidR="004A2234" w:rsidRPr="00E951B7" w:rsidRDefault="004A2234" w:rsidP="00E951B7">
            <w:pPr>
              <w:jc w:val="center"/>
              <w:rPr>
                <w:rFonts w:ascii="Arial" w:hAnsi="Arial" w:cs="Arial"/>
                <w:b/>
                <w:sz w:val="20"/>
                <w:szCs w:val="20"/>
              </w:rPr>
            </w:pPr>
          </w:p>
        </w:tc>
        <w:tc>
          <w:tcPr>
            <w:tcW w:w="1527" w:type="pct"/>
            <w:shd w:val="clear" w:color="auto" w:fill="auto"/>
            <w:vAlign w:val="center"/>
          </w:tcPr>
          <w:p w14:paraId="2ECD662E" w14:textId="77777777" w:rsidR="004A2234" w:rsidRPr="00E951B7" w:rsidRDefault="004A2234" w:rsidP="00A866F5">
            <w:pPr>
              <w:pStyle w:val="Heading1"/>
              <w:rPr>
                <w:rFonts w:ascii="Arial" w:hAnsi="Arial" w:cs="Arial"/>
                <w:sz w:val="22"/>
                <w:szCs w:val="22"/>
              </w:rPr>
            </w:pPr>
            <w:r>
              <w:rPr>
                <w:rFonts w:ascii="Arial" w:hAnsi="Arial"/>
                <w:bCs w:val="0"/>
                <w:sz w:val="22"/>
                <w:szCs w:val="22"/>
              </w:rPr>
              <w:t>Landsforskjeller</w:t>
            </w:r>
          </w:p>
        </w:tc>
        <w:tc>
          <w:tcPr>
            <w:tcW w:w="2945" w:type="pct"/>
            <w:shd w:val="clear" w:color="auto" w:fill="auto"/>
            <w:vAlign w:val="center"/>
          </w:tcPr>
          <w:p w14:paraId="2ECD662F" w14:textId="77777777" w:rsidR="004A2234" w:rsidRPr="00E951B7" w:rsidRDefault="004A2234" w:rsidP="00E951B7">
            <w:pPr>
              <w:spacing w:before="120" w:after="120"/>
              <w:rPr>
                <w:rFonts w:ascii="Arial" w:hAnsi="Arial" w:cs="Arial"/>
                <w:sz w:val="22"/>
                <w:szCs w:val="22"/>
              </w:rPr>
            </w:pPr>
            <w:r>
              <w:rPr>
                <w:rFonts w:ascii="Arial" w:hAnsi="Arial"/>
                <w:sz w:val="22"/>
                <w:szCs w:val="22"/>
              </w:rPr>
              <w:t>Nasjonale arbeidsmiljølover varierer, og det kan være vanskeligere å rekruttere i noen land enn andre. Hvis du representerer et rekrutteringsbyrå kan det for eksempel hende du må registrere deg for å gjøre det. Finn ut om eventuelle administrative hindringer før du starter rekrutteringen.</w:t>
            </w:r>
          </w:p>
        </w:tc>
      </w:tr>
      <w:tr w:rsidR="00E04622" w14:paraId="2ECD6634" w14:textId="77777777" w:rsidTr="0011522F">
        <w:trPr>
          <w:cantSplit/>
          <w:trHeight w:val="1417"/>
        </w:trPr>
        <w:tc>
          <w:tcPr>
            <w:tcW w:w="528" w:type="pct"/>
            <w:vMerge/>
            <w:shd w:val="clear" w:color="auto" w:fill="auto"/>
            <w:textDirection w:val="btLr"/>
          </w:tcPr>
          <w:p w14:paraId="2ECD6631" w14:textId="77777777" w:rsidR="004A2234" w:rsidRPr="00E951B7" w:rsidRDefault="004A2234" w:rsidP="00E951B7">
            <w:pPr>
              <w:jc w:val="center"/>
              <w:rPr>
                <w:rFonts w:ascii="Arial" w:hAnsi="Arial" w:cs="Arial"/>
                <w:b/>
                <w:sz w:val="22"/>
                <w:szCs w:val="22"/>
              </w:rPr>
            </w:pPr>
          </w:p>
        </w:tc>
        <w:tc>
          <w:tcPr>
            <w:tcW w:w="1527" w:type="pct"/>
            <w:shd w:val="clear" w:color="auto" w:fill="auto"/>
            <w:vAlign w:val="center"/>
          </w:tcPr>
          <w:p w14:paraId="2ECD6632" w14:textId="77777777" w:rsidR="004A2234" w:rsidRPr="00E951B7" w:rsidRDefault="004A2234" w:rsidP="00A866F5">
            <w:pPr>
              <w:rPr>
                <w:rFonts w:ascii="Arial" w:hAnsi="Arial" w:cs="Arial"/>
                <w:b/>
                <w:sz w:val="22"/>
                <w:szCs w:val="22"/>
              </w:rPr>
            </w:pPr>
            <w:r>
              <w:rPr>
                <w:rFonts w:ascii="Arial" w:hAnsi="Arial"/>
                <w:b/>
                <w:sz w:val="22"/>
                <w:szCs w:val="22"/>
              </w:rPr>
              <w:t>Kulturforskjeller</w:t>
            </w:r>
          </w:p>
        </w:tc>
        <w:tc>
          <w:tcPr>
            <w:tcW w:w="2945" w:type="pct"/>
            <w:shd w:val="clear" w:color="auto" w:fill="auto"/>
            <w:vAlign w:val="center"/>
          </w:tcPr>
          <w:p w14:paraId="2ECD6633" w14:textId="77777777" w:rsidR="004A2234" w:rsidRPr="00E951B7" w:rsidRDefault="004A2234" w:rsidP="00E951B7">
            <w:pPr>
              <w:spacing w:before="120" w:after="120"/>
              <w:rPr>
                <w:rFonts w:ascii="Arial" w:hAnsi="Arial" w:cs="Arial"/>
                <w:sz w:val="22"/>
                <w:szCs w:val="22"/>
              </w:rPr>
            </w:pPr>
            <w:r>
              <w:rPr>
                <w:rFonts w:ascii="Arial" w:hAnsi="Arial"/>
                <w:sz w:val="22"/>
                <w:szCs w:val="22"/>
              </w:rPr>
              <w:t>Rekrutteringspraksis varierer fra land til land, på samme måte som formaliteter mellom arbeidsgivere og jobbsøkere. Hvis søkerens adferd virker uvanlige, kan det hende at dette rett og slett skyldes kulturelle forskjeller. Ikke la dette påvirke dømmekraften din – hold i stedet fokuset på søkerens evner og ferdigheter.</w:t>
            </w:r>
          </w:p>
        </w:tc>
      </w:tr>
      <w:tr w:rsidR="00E04622" w14:paraId="2ECD6638" w14:textId="77777777" w:rsidTr="0011522F">
        <w:trPr>
          <w:cantSplit/>
          <w:trHeight w:val="1417"/>
        </w:trPr>
        <w:tc>
          <w:tcPr>
            <w:tcW w:w="528" w:type="pct"/>
            <w:vMerge/>
            <w:shd w:val="clear" w:color="auto" w:fill="auto"/>
          </w:tcPr>
          <w:p w14:paraId="2ECD6635" w14:textId="77777777" w:rsidR="004A2234" w:rsidRPr="00E951B7" w:rsidRDefault="004A2234" w:rsidP="00E951B7">
            <w:pPr>
              <w:jc w:val="center"/>
              <w:rPr>
                <w:rFonts w:ascii="Arial" w:hAnsi="Arial" w:cs="Arial"/>
                <w:b/>
                <w:sz w:val="22"/>
                <w:szCs w:val="22"/>
              </w:rPr>
            </w:pPr>
          </w:p>
        </w:tc>
        <w:tc>
          <w:tcPr>
            <w:tcW w:w="1527" w:type="pct"/>
            <w:tcBorders>
              <w:bottom w:val="single" w:sz="4" w:space="0" w:color="auto"/>
            </w:tcBorders>
            <w:shd w:val="clear" w:color="auto" w:fill="auto"/>
            <w:vAlign w:val="center"/>
          </w:tcPr>
          <w:p w14:paraId="2ECD6636"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Kvalifiseringer </w:t>
            </w:r>
          </w:p>
        </w:tc>
        <w:tc>
          <w:tcPr>
            <w:tcW w:w="2945" w:type="pct"/>
            <w:tcBorders>
              <w:bottom w:val="single" w:sz="4" w:space="0" w:color="auto"/>
            </w:tcBorders>
            <w:shd w:val="clear" w:color="auto" w:fill="auto"/>
            <w:vAlign w:val="center"/>
          </w:tcPr>
          <w:p w14:paraId="2ECD6637" w14:textId="77777777" w:rsidR="004A2234" w:rsidRPr="00E951B7" w:rsidRDefault="004A2234" w:rsidP="00E951B7">
            <w:pPr>
              <w:spacing w:before="120" w:after="120"/>
              <w:rPr>
                <w:rFonts w:ascii="Arial" w:hAnsi="Arial" w:cs="Arial"/>
                <w:sz w:val="22"/>
                <w:szCs w:val="22"/>
              </w:rPr>
            </w:pPr>
            <w:r>
              <w:rPr>
                <w:rFonts w:ascii="Arial" w:hAnsi="Arial"/>
                <w:sz w:val="22"/>
                <w:szCs w:val="22"/>
              </w:rPr>
              <w:t>Kandidater for regulerte yrker må registrere seg hos den tilsvarende myndigheten for å sikre anerkjennelse av deres kvalifikasjoner. ENIC-NARIC-nettverkene (</w:t>
            </w:r>
            <w:hyperlink r:id="rId12" w:history="1">
              <w:r>
                <w:rPr>
                  <w:rStyle w:val="Hyperlink"/>
                  <w:rFonts w:ascii="Arial" w:hAnsi="Arial"/>
                  <w:sz w:val="22"/>
                  <w:szCs w:val="22"/>
                </w:rPr>
                <w:t>https://www.enic-naric.net/</w:t>
              </w:r>
            </w:hyperlink>
            <w:r>
              <w:rPr>
                <w:rFonts w:ascii="Arial" w:hAnsi="Arial"/>
                <w:sz w:val="22"/>
                <w:szCs w:val="22"/>
              </w:rPr>
              <w:t>) er inngangsporten til anerkjennelse av akademiske, fagmessige og yrkesmessige kvalifikasjoner i Europa.</w:t>
            </w:r>
          </w:p>
        </w:tc>
      </w:tr>
      <w:tr w:rsidR="00E04622" w14:paraId="2ECD663B" w14:textId="77777777" w:rsidTr="0011522F">
        <w:trPr>
          <w:cantSplit/>
          <w:trHeight w:val="567"/>
        </w:trPr>
        <w:tc>
          <w:tcPr>
            <w:tcW w:w="528" w:type="pct"/>
            <w:vMerge w:val="restart"/>
            <w:shd w:val="clear" w:color="auto" w:fill="auto"/>
            <w:textDirection w:val="btLr"/>
            <w:vAlign w:val="center"/>
          </w:tcPr>
          <w:p w14:paraId="2ECD6639"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lastRenderedPageBreak/>
              <w:t>EURES er her for å hjelpe deg!</w:t>
            </w:r>
          </w:p>
        </w:tc>
        <w:tc>
          <w:tcPr>
            <w:tcW w:w="4472" w:type="pct"/>
            <w:gridSpan w:val="2"/>
            <w:tcBorders>
              <w:bottom w:val="nil"/>
            </w:tcBorders>
            <w:shd w:val="clear" w:color="auto" w:fill="auto"/>
            <w:vAlign w:val="center"/>
          </w:tcPr>
          <w:p w14:paraId="2ECD663A" w14:textId="77777777"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Etter å ha vurdert informasjonen ovenfor,</w:t>
            </w:r>
          </w:p>
        </w:tc>
      </w:tr>
      <w:tr w:rsidR="00E04622" w14:paraId="2ECD6640" w14:textId="77777777" w:rsidTr="002D1371">
        <w:trPr>
          <w:cantSplit/>
          <w:trHeight w:val="1587"/>
        </w:trPr>
        <w:tc>
          <w:tcPr>
            <w:tcW w:w="528" w:type="pct"/>
            <w:vMerge/>
            <w:shd w:val="clear" w:color="auto" w:fill="auto"/>
            <w:textDirection w:val="btLr"/>
          </w:tcPr>
          <w:p w14:paraId="2ECD663C" w14:textId="77777777" w:rsidR="004A2234" w:rsidRPr="00E951B7" w:rsidRDefault="004A2234" w:rsidP="00E951B7">
            <w:pPr>
              <w:ind w:left="113" w:right="113"/>
              <w:jc w:val="center"/>
              <w:rPr>
                <w:rFonts w:ascii="Arial" w:hAnsi="Arial" w:cs="Arial"/>
                <w:b/>
                <w:color w:val="000000"/>
                <w:sz w:val="20"/>
                <w:szCs w:val="20"/>
              </w:rPr>
            </w:pPr>
          </w:p>
        </w:tc>
        <w:tc>
          <w:tcPr>
            <w:tcW w:w="1527" w:type="pct"/>
            <w:tcBorders>
              <w:top w:val="nil"/>
            </w:tcBorders>
            <w:shd w:val="clear" w:color="auto" w:fill="auto"/>
            <w:vAlign w:val="center"/>
          </w:tcPr>
          <w:p w14:paraId="2ECD663D"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Finn din lokale EURES-rådgiver</w:t>
            </w:r>
          </w:p>
          <w:p w14:paraId="2ECD663E" w14:textId="78BC4F7F" w:rsidR="004A2234" w:rsidRPr="00E951B7" w:rsidRDefault="004A2234" w:rsidP="004A2234">
            <w:pPr>
              <w:rPr>
                <w:rFonts w:ascii="Arial" w:hAnsi="Arial" w:cs="Arial"/>
                <w:i/>
                <w:color w:val="000000"/>
                <w:sz w:val="20"/>
                <w:szCs w:val="20"/>
              </w:rPr>
            </w:pPr>
            <w:r>
              <w:rPr>
                <w:rFonts w:ascii="Arial" w:hAnsi="Arial"/>
                <w:color w:val="000000"/>
                <w:sz w:val="20"/>
                <w:szCs w:val="20"/>
              </w:rPr>
              <w:t>(se lenken</w:t>
            </w:r>
            <w:r>
              <w:rPr>
                <w:rFonts w:ascii="Arial" w:hAnsi="Arial"/>
                <w:i/>
                <w:color w:val="000000"/>
                <w:sz w:val="20"/>
                <w:szCs w:val="20"/>
              </w:rPr>
              <w:t xml:space="preserve"> «</w:t>
            </w:r>
            <w:hyperlink r:id="rId13" w:history="1">
              <w:r w:rsidRPr="003C3434">
                <w:rPr>
                  <w:rStyle w:val="Hyperlink"/>
                  <w:rFonts w:ascii="Arial" w:hAnsi="Arial"/>
                  <w:i/>
                  <w:sz w:val="20"/>
                  <w:szCs w:val="20"/>
                </w:rPr>
                <w:t>Kontakt en EURES-rådgiver</w:t>
              </w:r>
            </w:hyperlink>
            <w:r>
              <w:rPr>
                <w:rFonts w:ascii="Arial" w:hAnsi="Arial"/>
                <w:i/>
                <w:color w:val="000000"/>
                <w:sz w:val="20"/>
                <w:szCs w:val="20"/>
              </w:rPr>
              <w:t xml:space="preserve">» </w:t>
            </w:r>
            <w:r>
              <w:rPr>
                <w:rFonts w:ascii="Arial" w:hAnsi="Arial"/>
                <w:color w:val="000000"/>
                <w:sz w:val="20"/>
                <w:szCs w:val="20"/>
              </w:rPr>
              <w:t>på EURES-portalen)</w:t>
            </w:r>
          </w:p>
        </w:tc>
        <w:tc>
          <w:tcPr>
            <w:tcW w:w="2945" w:type="pct"/>
            <w:tcBorders>
              <w:top w:val="nil"/>
            </w:tcBorders>
            <w:shd w:val="clear" w:color="auto" w:fill="auto"/>
            <w:vAlign w:val="center"/>
          </w:tcPr>
          <w:p w14:paraId="2ECD663F"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Hvis du trenger råd om rekruttering i et annet land, kan du søke etter kontaktopplysninger for din nærmeste EURES-rådgiver. Ta i første omgang kontakt med din lokale EURES-rådgiver – han/hun er din lenke til det bredere nettverket som kan gi deg mer informasjon om de ovennevnte emnene.</w:t>
            </w:r>
          </w:p>
        </w:tc>
      </w:tr>
    </w:tbl>
    <w:p w14:paraId="2ECD6641"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6648" w14:textId="77777777" w:rsidR="00050D0F" w:rsidRDefault="00050D0F">
      <w:r>
        <w:separator/>
      </w:r>
    </w:p>
  </w:endnote>
  <w:endnote w:type="continuationSeparator" w:id="0">
    <w:p w14:paraId="2ECD6649"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664A"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2ECD664B"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664C"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2ECD664D"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6646" w14:textId="77777777" w:rsidR="00050D0F" w:rsidRDefault="00050D0F">
      <w:r>
        <w:separator/>
      </w:r>
    </w:p>
  </w:footnote>
  <w:footnote w:type="continuationSeparator" w:id="0">
    <w:p w14:paraId="2ECD6647"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22F"/>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2D1371"/>
    <w:rsid w:val="00303C1E"/>
    <w:rsid w:val="00311B6F"/>
    <w:rsid w:val="00315066"/>
    <w:rsid w:val="0031686C"/>
    <w:rsid w:val="00333383"/>
    <w:rsid w:val="003427F7"/>
    <w:rsid w:val="00353ACC"/>
    <w:rsid w:val="00376EBF"/>
    <w:rsid w:val="003A3810"/>
    <w:rsid w:val="003B7E50"/>
    <w:rsid w:val="003C3434"/>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043E"/>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EA1054"/>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ECD65FB"/>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en" TargetMode="External"/><Relationship Id="rId13" Type="http://schemas.openxmlformats.org/officeDocument/2006/relationships/hyperlink" Target="https://europa.eu/eures/portal/um/search-for-advisers?lang=no" TargetMode="External"/><Relationship Id="rId3" Type="http://schemas.openxmlformats.org/officeDocument/2006/relationships/webSettings" Target="webSettings.xml"/><Relationship Id="rId7" Type="http://schemas.openxmlformats.org/officeDocument/2006/relationships/hyperlink" Target="https://eures.europa.eu/living-and-working_no"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4335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9</cp:revision>
  <cp:lastPrinted>2007-07-12T11:38:00Z</cp:lastPrinted>
  <dcterms:created xsi:type="dcterms:W3CDTF">2021-05-26T07:30:00Z</dcterms:created>
  <dcterms:modified xsi:type="dcterms:W3CDTF">2024-04-29T13:27:00Z</dcterms:modified>
</cp:coreProperties>
</file>