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29DE"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733A2A25" wp14:editId="733A2A26">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14:paraId="733A2A31" w14:textId="77777777" w:rsidR="002000A7" w:rsidRDefault="002000A7" w:rsidP="004D46DF">
                            <w:pPr>
                              <w:spacing w:before="160" w:after="160" w:line="480" w:lineRule="auto"/>
                              <w:jc w:val="center"/>
                            </w:pPr>
                            <w:r>
                              <w:rPr>
                                <w:rFonts w:ascii="Arial" w:hAnsi="Arial"/>
                                <w:b/>
                              </w:rPr>
                              <w:t>Što treba uzeti u obzir</w:t>
                            </w:r>
                            <w:r>
                              <w:rPr>
                                <w:rFonts w:ascii="Arial" w:hAnsi="Arial"/>
                                <w:b/>
                              </w:rPr>
                              <w:br/>
                            </w:r>
                            <w:r>
                              <w:rPr>
                                <w:rFonts w:ascii="Arial" w:hAnsi="Arial"/>
                                <w:b/>
                                <w:sz w:val="28"/>
                                <w:szCs w:val="28"/>
                                <w:u w:val="single"/>
                              </w:rPr>
                              <w:t>PRIJE</w:t>
                            </w:r>
                            <w:r>
                              <w:rPr>
                                <w:rFonts w:ascii="Arial" w:hAnsi="Arial"/>
                                <w:b/>
                                <w:sz w:val="28"/>
                                <w:szCs w:val="28"/>
                              </w:rPr>
                              <w:br/>
                            </w:r>
                            <w:r>
                              <w:rPr>
                                <w:rFonts w:ascii="Arial" w:hAnsi="Arial"/>
                                <w:b/>
                              </w:rPr>
                              <w:t>zapošljavanja radnika iz inozemstva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A2A25" id="_x0000_t202" coordsize="21600,21600" o:spt="202" path="m,l,21600r21600,l21600,xe">
                <v:stroke joinstyle="miter"/>
                <v:path gradientshapeok="t" o:connecttype="rect"/>
              </v:shapetype>
              <v:shape id="Text Box 1" o:spid="_x0000_s1026" type="#_x0000_t202"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drFQIAACw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">
                <v:textbox>
                  <w:txbxContent>
                    <w:p w14:paraId="733A2A31" w14:textId="77777777" w:rsidR="002000A7" w:rsidRDefault="002000A7" w:rsidP="004D46DF">
                      <w:pPr>
                        <w:spacing w:before="160" w:after="160" w:line="480" w:lineRule="auto"/>
                        <w:jc w:val="center"/>
                      </w:pPr>
                      <w:r>
                        <w:rPr>
                          <w:rFonts w:ascii="Arial" w:hAnsi="Arial"/>
                          <w:b/>
                        </w:rPr>
                        <w:t>Što treba uzeti u obzir</w:t>
                      </w:r>
                      <w:r>
                        <w:rPr>
                          <w:rFonts w:ascii="Arial" w:hAnsi="Arial"/>
                          <w:b/>
                        </w:rPr>
                        <w:br/>
                      </w:r>
                      <w:r>
                        <w:rPr>
                          <w:rFonts w:ascii="Arial" w:hAnsi="Arial"/>
                          <w:b/>
                          <w:sz w:val="28"/>
                          <w:szCs w:val="28"/>
                          <w:u w:val="single"/>
                        </w:rPr>
                        <w:t>PRIJE</w:t>
                      </w:r>
                      <w:r>
                        <w:rPr>
                          <w:rFonts w:ascii="Arial" w:hAnsi="Arial"/>
                          <w:b/>
                          <w:sz w:val="28"/>
                          <w:szCs w:val="28"/>
                        </w:rPr>
                        <w:br/>
                      </w:r>
                      <w:r>
                        <w:rPr>
                          <w:rFonts w:ascii="Arial" w:hAnsi="Arial"/>
                          <w:b/>
                        </w:rPr>
                        <w:t>zapošljavanja radnika iz inozemstva</w:t>
                      </w:r>
                    </w:p>
                  </w:txbxContent>
                </v:textbox>
              </v:shape>
            </w:pict>
          </mc:Fallback>
        </mc:AlternateContent>
      </w:r>
      <w:r>
        <w:rPr>
          <w:rFonts w:ascii="Arial" w:hAnsi="Arial"/>
          <w:b/>
          <w:noProof/>
          <w:sz w:val="28"/>
          <w:szCs w:val="28"/>
        </w:rPr>
        <w:drawing>
          <wp:inline distT="0" distB="0" distL="0" distR="0" wp14:anchorId="733A2A27" wp14:editId="733A2A28">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733A29DF" w14:textId="77777777" w:rsidR="00292D82" w:rsidRPr="003C6DAE" w:rsidRDefault="00292D82" w:rsidP="001B769C">
      <w:pPr>
        <w:jc w:val="center"/>
        <w:rPr>
          <w:rFonts w:ascii="Arial" w:hAnsi="Arial" w:cs="Arial"/>
          <w:b/>
          <w:sz w:val="28"/>
          <w:szCs w:val="28"/>
        </w:rPr>
      </w:pPr>
    </w:p>
    <w:p w14:paraId="733A29E0" w14:textId="77777777" w:rsidR="008B3B4F" w:rsidRPr="003C6DAE" w:rsidRDefault="008B3B4F" w:rsidP="001B769C">
      <w:pPr>
        <w:jc w:val="center"/>
        <w:rPr>
          <w:rFonts w:ascii="Arial" w:hAnsi="Arial" w:cs="Arial"/>
          <w:b/>
          <w:sz w:val="28"/>
          <w:szCs w:val="28"/>
        </w:rPr>
      </w:pPr>
    </w:p>
    <w:p w14:paraId="733A29E1"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2332"/>
        <w:gridCol w:w="6439"/>
      </w:tblGrid>
      <w:tr w:rsidR="00E04622" w14:paraId="733A29E5" w14:textId="77777777" w:rsidTr="00A3467B">
        <w:tc>
          <w:tcPr>
            <w:tcW w:w="417" w:type="pct"/>
            <w:shd w:val="clear" w:color="auto" w:fill="auto"/>
            <w:vAlign w:val="center"/>
          </w:tcPr>
          <w:p w14:paraId="733A29E2" w14:textId="77777777" w:rsidR="001B769C" w:rsidRPr="00E951B7" w:rsidRDefault="00950D65" w:rsidP="008768AF">
            <w:pPr>
              <w:pStyle w:val="Heading1"/>
              <w:rPr>
                <w:rFonts w:ascii="Arial" w:hAnsi="Arial" w:cs="Arial"/>
                <w:sz w:val="22"/>
                <w:szCs w:val="22"/>
              </w:rPr>
            </w:pPr>
            <w:r>
              <w:rPr>
                <w:rFonts w:ascii="Arial" w:hAnsi="Arial"/>
                <w:sz w:val="22"/>
                <w:szCs w:val="22"/>
              </w:rPr>
              <w:t>Imajte na umu...</w:t>
            </w:r>
          </w:p>
        </w:tc>
        <w:tc>
          <w:tcPr>
            <w:tcW w:w="4583" w:type="pct"/>
            <w:gridSpan w:val="2"/>
            <w:shd w:val="clear" w:color="auto" w:fill="auto"/>
            <w:vAlign w:val="center"/>
          </w:tcPr>
          <w:p w14:paraId="733A29E3" w14:textId="77777777" w:rsidR="00C3223F" w:rsidRPr="00E951B7" w:rsidRDefault="00C3223F" w:rsidP="008768AF">
            <w:pPr>
              <w:rPr>
                <w:rFonts w:ascii="Arial" w:hAnsi="Arial" w:cs="Arial"/>
                <w:b/>
                <w:sz w:val="22"/>
                <w:szCs w:val="22"/>
              </w:rPr>
            </w:pPr>
          </w:p>
          <w:p w14:paraId="733A29E4" w14:textId="77777777" w:rsidR="001B769C" w:rsidRPr="00E951B7" w:rsidRDefault="001B769C" w:rsidP="008768AF">
            <w:pPr>
              <w:rPr>
                <w:rFonts w:ascii="Arial" w:hAnsi="Arial" w:cs="Arial"/>
                <w:b/>
                <w:sz w:val="22"/>
                <w:szCs w:val="22"/>
              </w:rPr>
            </w:pPr>
            <w:r>
              <w:rPr>
                <w:rFonts w:ascii="Arial" w:hAnsi="Arial"/>
                <w:b/>
                <w:sz w:val="22"/>
                <w:szCs w:val="22"/>
              </w:rPr>
              <w:t>Mjere</w:t>
            </w:r>
          </w:p>
        </w:tc>
      </w:tr>
      <w:tr w:rsidR="00E04622" w14:paraId="733A29E9" w14:textId="77777777" w:rsidTr="00A3467B">
        <w:trPr>
          <w:cantSplit/>
          <w:trHeight w:val="1417"/>
        </w:trPr>
        <w:tc>
          <w:tcPr>
            <w:tcW w:w="417" w:type="pct"/>
            <w:vMerge w:val="restart"/>
            <w:shd w:val="clear" w:color="auto" w:fill="auto"/>
            <w:textDirection w:val="btLr"/>
            <w:vAlign w:val="center"/>
          </w:tcPr>
          <w:p w14:paraId="733A29E6"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Savjetovanje i planiranje</w:t>
            </w:r>
          </w:p>
        </w:tc>
        <w:tc>
          <w:tcPr>
            <w:tcW w:w="1007" w:type="pct"/>
            <w:shd w:val="clear" w:color="auto" w:fill="auto"/>
            <w:vAlign w:val="center"/>
          </w:tcPr>
          <w:p w14:paraId="733A29E7" w14:textId="77777777" w:rsidR="00C3223F" w:rsidRPr="00E951B7" w:rsidRDefault="00C3223F" w:rsidP="00A866F5">
            <w:pPr>
              <w:pStyle w:val="Heading1"/>
              <w:rPr>
                <w:rFonts w:ascii="Arial" w:hAnsi="Arial" w:cs="Arial"/>
                <w:sz w:val="22"/>
                <w:szCs w:val="22"/>
              </w:rPr>
            </w:pPr>
            <w:r>
              <w:rPr>
                <w:rFonts w:ascii="Arial" w:hAnsi="Arial"/>
                <w:sz w:val="22"/>
                <w:szCs w:val="22"/>
              </w:rPr>
              <w:t>Lokalne službe za zapošljavanje</w:t>
            </w:r>
          </w:p>
        </w:tc>
        <w:tc>
          <w:tcPr>
            <w:tcW w:w="3576" w:type="pct"/>
            <w:shd w:val="clear" w:color="auto" w:fill="auto"/>
            <w:vAlign w:val="center"/>
          </w:tcPr>
          <w:p w14:paraId="733A29E8"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Prije nego što počnete tražiti kandidate iz inozemstva, pokušajte se obratiti </w:t>
            </w:r>
            <w:r>
              <w:rPr>
                <w:rFonts w:ascii="Arial" w:hAnsi="Arial"/>
                <w:i/>
                <w:sz w:val="22"/>
                <w:szCs w:val="22"/>
              </w:rPr>
              <w:t>lokalnoj javnoj službi za zapošljavanje</w:t>
            </w:r>
            <w:r>
              <w:rPr>
                <w:rFonts w:ascii="Arial" w:hAnsi="Arial"/>
                <w:sz w:val="22"/>
                <w:szCs w:val="22"/>
              </w:rPr>
              <w:t xml:space="preserve"> kako biste u razgovoru s njima utvrdili svoje potrebe u pogledu zapošljavanja. Možda će oni moći pronaći prikladne kandidate koji se nalaze bliže.</w:t>
            </w:r>
          </w:p>
        </w:tc>
      </w:tr>
      <w:tr w:rsidR="00E04622" w14:paraId="733A29ED" w14:textId="77777777" w:rsidTr="00136DCB">
        <w:trPr>
          <w:trHeight w:val="850"/>
        </w:trPr>
        <w:tc>
          <w:tcPr>
            <w:tcW w:w="417" w:type="pct"/>
            <w:vMerge/>
            <w:tcBorders>
              <w:bottom w:val="single" w:sz="4" w:space="0" w:color="auto"/>
            </w:tcBorders>
            <w:shd w:val="clear" w:color="auto" w:fill="auto"/>
            <w:vAlign w:val="center"/>
          </w:tcPr>
          <w:p w14:paraId="733A29EA"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733A29EB" w14:textId="77777777" w:rsidR="00C3223F" w:rsidRPr="00E951B7" w:rsidRDefault="00C3223F" w:rsidP="00A866F5">
            <w:pPr>
              <w:rPr>
                <w:rFonts w:ascii="Arial" w:hAnsi="Arial" w:cs="Arial"/>
                <w:b/>
                <w:sz w:val="22"/>
                <w:szCs w:val="22"/>
              </w:rPr>
            </w:pPr>
            <w:r>
              <w:rPr>
                <w:rFonts w:ascii="Arial" w:hAnsi="Arial"/>
                <w:b/>
                <w:sz w:val="22"/>
                <w:szCs w:val="22"/>
              </w:rPr>
              <w:t>Izradite profil kandidata</w:t>
            </w:r>
          </w:p>
        </w:tc>
        <w:tc>
          <w:tcPr>
            <w:tcW w:w="3576" w:type="pct"/>
            <w:tcBorders>
              <w:bottom w:val="single" w:sz="4" w:space="0" w:color="auto"/>
            </w:tcBorders>
            <w:shd w:val="clear" w:color="auto" w:fill="auto"/>
            <w:vAlign w:val="center"/>
          </w:tcPr>
          <w:p w14:paraId="733A29EC" w14:textId="77777777" w:rsidR="00C3223F" w:rsidRPr="00E951B7" w:rsidRDefault="00C3223F" w:rsidP="00E951B7">
            <w:pPr>
              <w:spacing w:before="120" w:after="120"/>
              <w:rPr>
                <w:rFonts w:ascii="Arial" w:hAnsi="Arial" w:cs="Arial"/>
                <w:sz w:val="22"/>
                <w:szCs w:val="22"/>
              </w:rPr>
            </w:pPr>
            <w:r>
              <w:rPr>
                <w:rFonts w:ascii="Arial" w:hAnsi="Arial"/>
                <w:sz w:val="22"/>
                <w:szCs w:val="22"/>
              </w:rPr>
              <w:t>Koje su konkretne vještine, kompetencije i kvalifikacije potrebne za učinkovito obavljanje radnih zadataka?</w:t>
            </w:r>
          </w:p>
        </w:tc>
      </w:tr>
      <w:tr w:rsidR="00E04622" w14:paraId="733A29F0" w14:textId="77777777" w:rsidTr="00A3467B">
        <w:trPr>
          <w:trHeight w:val="567"/>
        </w:trPr>
        <w:tc>
          <w:tcPr>
            <w:tcW w:w="417" w:type="pct"/>
            <w:vMerge/>
            <w:tcBorders>
              <w:right w:val="single" w:sz="4" w:space="0" w:color="auto"/>
            </w:tcBorders>
            <w:shd w:val="clear" w:color="auto" w:fill="auto"/>
            <w:vAlign w:val="center"/>
          </w:tcPr>
          <w:p w14:paraId="733A29EE"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733A29EF" w14:textId="77777777" w:rsidR="004B66E2" w:rsidRPr="00E951B7" w:rsidRDefault="004B66E2" w:rsidP="00584FF5">
            <w:pPr>
              <w:ind w:left="1814"/>
              <w:rPr>
                <w:rFonts w:ascii="Arial" w:hAnsi="Arial" w:cs="Arial"/>
                <w:sz w:val="22"/>
                <w:szCs w:val="22"/>
              </w:rPr>
            </w:pPr>
            <w:r>
              <w:rPr>
                <w:rFonts w:ascii="Arial" w:hAnsi="Arial"/>
                <w:i/>
                <w:sz w:val="22"/>
                <w:szCs w:val="22"/>
              </w:rPr>
              <w:t xml:space="preserve">Ako se odlučite na zapošljavanje radnika iz inozemstva </w:t>
            </w:r>
          </w:p>
        </w:tc>
      </w:tr>
      <w:tr w:rsidR="00E04622" w14:paraId="733A29F4" w14:textId="77777777" w:rsidTr="00136DCB">
        <w:trPr>
          <w:trHeight w:val="907"/>
        </w:trPr>
        <w:tc>
          <w:tcPr>
            <w:tcW w:w="417" w:type="pct"/>
            <w:vMerge/>
            <w:shd w:val="clear" w:color="auto" w:fill="auto"/>
            <w:vAlign w:val="center"/>
          </w:tcPr>
          <w:p w14:paraId="733A29F1"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733A29F2"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Izradite plan </w:t>
            </w:r>
          </w:p>
        </w:tc>
        <w:tc>
          <w:tcPr>
            <w:tcW w:w="3576" w:type="pct"/>
            <w:tcBorders>
              <w:top w:val="nil"/>
            </w:tcBorders>
            <w:shd w:val="clear" w:color="auto" w:fill="auto"/>
            <w:vAlign w:val="center"/>
          </w:tcPr>
          <w:p w14:paraId="733A29F3" w14:textId="77777777" w:rsidR="00C3223F" w:rsidRPr="00E951B7" w:rsidRDefault="00C3223F" w:rsidP="00E951B7">
            <w:pPr>
              <w:spacing w:after="120"/>
              <w:rPr>
                <w:rFonts w:ascii="Arial" w:hAnsi="Arial" w:cs="Arial"/>
                <w:sz w:val="22"/>
                <w:szCs w:val="22"/>
              </w:rPr>
            </w:pPr>
            <w:r>
              <w:rPr>
                <w:rFonts w:ascii="Arial" w:hAnsi="Arial"/>
                <w:sz w:val="22"/>
                <w:szCs w:val="22"/>
              </w:rPr>
              <w:t>Utvrdite ciljeve, prednosti, rizike i troškove zapošljavanja radnika iz inozemstva. Odredite rokove, s obzirom na to da traženje kandidata iz inozemstva može potrajati.</w:t>
            </w:r>
          </w:p>
        </w:tc>
      </w:tr>
      <w:tr w:rsidR="00E04622" w14:paraId="733A29F9" w14:textId="77777777" w:rsidTr="00A3467B">
        <w:trPr>
          <w:trHeight w:val="1701"/>
        </w:trPr>
        <w:tc>
          <w:tcPr>
            <w:tcW w:w="417" w:type="pct"/>
            <w:vMerge/>
            <w:shd w:val="clear" w:color="auto" w:fill="auto"/>
            <w:vAlign w:val="center"/>
          </w:tcPr>
          <w:p w14:paraId="733A29F5"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733A29F6" w14:textId="77777777" w:rsidR="00C3223F" w:rsidRPr="00E951B7" w:rsidRDefault="00C3223F" w:rsidP="008768AF">
            <w:pPr>
              <w:pStyle w:val="Heading1"/>
              <w:rPr>
                <w:rFonts w:ascii="Arial" w:hAnsi="Arial" w:cs="Arial"/>
                <w:sz w:val="22"/>
                <w:szCs w:val="22"/>
              </w:rPr>
            </w:pPr>
            <w:r>
              <w:rPr>
                <w:rFonts w:ascii="Arial" w:hAnsi="Arial"/>
                <w:sz w:val="22"/>
                <w:szCs w:val="22"/>
              </w:rPr>
              <w:t>Obratite se nadležnim tijelima</w:t>
            </w:r>
          </w:p>
          <w:p w14:paraId="733A29F7" w14:textId="77777777" w:rsidR="00C3223F" w:rsidRPr="00E951B7" w:rsidRDefault="00C3223F" w:rsidP="008768AF">
            <w:pPr>
              <w:rPr>
                <w:rFonts w:ascii="Arial" w:hAnsi="Arial" w:cs="Arial"/>
                <w:sz w:val="20"/>
                <w:szCs w:val="20"/>
              </w:rPr>
            </w:pPr>
            <w:r>
              <w:rPr>
                <w:rFonts w:ascii="Arial" w:hAnsi="Arial"/>
                <w:i/>
                <w:sz w:val="20"/>
                <w:szCs w:val="20"/>
              </w:rPr>
              <w:t>(uprava za prijavu stranih državljana ili istovjetna služba u vašoj zemlji)</w:t>
            </w:r>
          </w:p>
        </w:tc>
        <w:tc>
          <w:tcPr>
            <w:tcW w:w="3576" w:type="pct"/>
            <w:shd w:val="clear" w:color="auto" w:fill="auto"/>
            <w:vAlign w:val="center"/>
          </w:tcPr>
          <w:p w14:paraId="733A29F8"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Informirajte se o eventualnim dodatnim koracima koje trebate poduzeti kako biste zaposlili stranog državljanina. Trebaju li se posebno prijaviti ili plaćati određene naknade? </w:t>
            </w:r>
          </w:p>
        </w:tc>
      </w:tr>
      <w:tr w:rsidR="00E04622" w14:paraId="733A29FD" w14:textId="77777777" w:rsidTr="00136DCB">
        <w:trPr>
          <w:cantSplit/>
          <w:trHeight w:val="1814"/>
        </w:trPr>
        <w:tc>
          <w:tcPr>
            <w:tcW w:w="417" w:type="pct"/>
            <w:vMerge w:val="restart"/>
            <w:shd w:val="clear" w:color="auto" w:fill="auto"/>
            <w:textDirection w:val="btLr"/>
            <w:vAlign w:val="center"/>
          </w:tcPr>
          <w:p w14:paraId="733A29FA"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Pravni zahtjevi i upućeni radnici</w:t>
            </w:r>
          </w:p>
        </w:tc>
        <w:tc>
          <w:tcPr>
            <w:tcW w:w="1007" w:type="pct"/>
            <w:shd w:val="clear" w:color="auto" w:fill="auto"/>
            <w:vAlign w:val="center"/>
          </w:tcPr>
          <w:p w14:paraId="733A29FB" w14:textId="77777777" w:rsidR="00E40C1E" w:rsidRPr="00E951B7" w:rsidRDefault="00F76B25" w:rsidP="008768AF">
            <w:pPr>
              <w:pStyle w:val="Heading1"/>
              <w:rPr>
                <w:rFonts w:ascii="Arial" w:hAnsi="Arial" w:cs="Arial"/>
                <w:sz w:val="22"/>
                <w:szCs w:val="22"/>
              </w:rPr>
            </w:pPr>
            <w:r>
              <w:rPr>
                <w:rFonts w:ascii="Arial" w:hAnsi="Arial"/>
                <w:sz w:val="22"/>
                <w:szCs w:val="22"/>
              </w:rPr>
              <w:t>Postupci prijave i radne dozvole</w:t>
            </w:r>
          </w:p>
        </w:tc>
        <w:tc>
          <w:tcPr>
            <w:tcW w:w="3576" w:type="pct"/>
            <w:shd w:val="clear" w:color="auto" w:fill="auto"/>
            <w:vAlign w:val="center"/>
          </w:tcPr>
          <w:p w14:paraId="733A29FC" w14:textId="705575E2" w:rsidR="00E40C1E" w:rsidRPr="00E951B7" w:rsidRDefault="00F76B25" w:rsidP="008B66BE">
            <w:pPr>
              <w:rPr>
                <w:rFonts w:ascii="Arial" w:hAnsi="Arial" w:cs="Arial"/>
                <w:sz w:val="22"/>
                <w:szCs w:val="22"/>
              </w:rPr>
            </w:pPr>
            <w:r>
              <w:rPr>
                <w:rFonts w:ascii="Arial" w:hAnsi="Arial"/>
                <w:sz w:val="22"/>
                <w:szCs w:val="22"/>
              </w:rPr>
              <w:t>Želite li zaposliti radnike iz drugih zemalja Europskog gospodarskog prostora (EGP) i potrebne su vam dodatne informacije o postupcima prijave i radnim dozvolama? U tom slučaju pogledajte odjeljak „</w:t>
            </w:r>
            <w:hyperlink r:id="rId7" w:history="1">
              <w:r>
                <w:rPr>
                  <w:rStyle w:val="Hyperlink"/>
                  <w:rFonts w:ascii="Arial" w:hAnsi="Arial"/>
                  <w:sz w:val="22"/>
                  <w:szCs w:val="22"/>
                </w:rPr>
                <w:t>Život i rad</w:t>
              </w:r>
            </w:hyperlink>
            <w:r>
              <w:rPr>
                <w:rFonts w:ascii="Arial" w:hAnsi="Arial"/>
                <w:sz w:val="22"/>
                <w:szCs w:val="22"/>
              </w:rPr>
              <w:t>” kako biste saznali više o postupcima prijave i pronašli informacije o boravišnim dozvolama za svaku zemlju.</w:t>
            </w:r>
          </w:p>
        </w:tc>
      </w:tr>
      <w:tr w:rsidR="00E04622" w14:paraId="733A2A01" w14:textId="77777777" w:rsidTr="00A3467B">
        <w:trPr>
          <w:trHeight w:val="1474"/>
        </w:trPr>
        <w:tc>
          <w:tcPr>
            <w:tcW w:w="417" w:type="pct"/>
            <w:vMerge/>
            <w:shd w:val="clear" w:color="auto" w:fill="auto"/>
            <w:vAlign w:val="center"/>
          </w:tcPr>
          <w:p w14:paraId="733A29FE"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733A29FF" w14:textId="77777777" w:rsidR="00E40C1E" w:rsidRPr="00E951B7" w:rsidRDefault="00F76B25" w:rsidP="00A866F5">
            <w:pPr>
              <w:pStyle w:val="Heading1"/>
              <w:rPr>
                <w:rFonts w:ascii="Arial" w:hAnsi="Arial" w:cs="Arial"/>
                <w:sz w:val="22"/>
                <w:szCs w:val="22"/>
              </w:rPr>
            </w:pPr>
            <w:r>
              <w:rPr>
                <w:rFonts w:ascii="Arial" w:hAnsi="Arial"/>
                <w:sz w:val="22"/>
                <w:szCs w:val="22"/>
              </w:rPr>
              <w:t>Prijelazne odredbe kojima je uređeno slobodno kretanje radnika</w:t>
            </w:r>
          </w:p>
        </w:tc>
        <w:tc>
          <w:tcPr>
            <w:tcW w:w="3576" w:type="pct"/>
            <w:shd w:val="clear" w:color="auto" w:fill="auto"/>
            <w:vAlign w:val="center"/>
          </w:tcPr>
          <w:p w14:paraId="733A2A00" w14:textId="4437CCD3" w:rsidR="00E40C1E" w:rsidRPr="00E951B7" w:rsidRDefault="00F76B25" w:rsidP="004A2234">
            <w:pPr>
              <w:rPr>
                <w:rFonts w:ascii="Arial" w:hAnsi="Arial" w:cs="Arial"/>
                <w:sz w:val="22"/>
                <w:szCs w:val="22"/>
              </w:rPr>
            </w:pPr>
            <w:r>
              <w:rPr>
                <w:rFonts w:ascii="Arial" w:hAnsi="Arial"/>
                <w:sz w:val="22"/>
                <w:szCs w:val="22"/>
              </w:rPr>
              <w:t>Za informacije o prijelaznim odredbama kojima je uređeno slobodno kretanje radnika iz novih država članica, u te države i među tim državama posjetite odjeljak „</w:t>
            </w:r>
            <w:hyperlink r:id="rId8" w:history="1">
              <w:r>
                <w:rPr>
                  <w:rStyle w:val="Hyperlink"/>
                  <w:rFonts w:ascii="Arial" w:hAnsi="Arial"/>
                  <w:sz w:val="22"/>
                  <w:szCs w:val="22"/>
                </w:rPr>
                <w:t>Slobodno kretanje radnika</w:t>
              </w:r>
            </w:hyperlink>
            <w:r>
              <w:rPr>
                <w:rFonts w:ascii="Arial" w:hAnsi="Arial"/>
              </w:rPr>
              <w:t xml:space="preserve">” </w:t>
            </w:r>
            <w:r>
              <w:rPr>
                <w:rFonts w:ascii="Arial" w:hAnsi="Arial"/>
                <w:sz w:val="22"/>
                <w:szCs w:val="22"/>
              </w:rPr>
              <w:t>na portalu Europa.</w:t>
            </w:r>
          </w:p>
        </w:tc>
      </w:tr>
      <w:tr w:rsidR="00E04622" w14:paraId="733A2A07" w14:textId="77777777" w:rsidTr="00136DCB">
        <w:trPr>
          <w:trHeight w:val="4252"/>
        </w:trPr>
        <w:tc>
          <w:tcPr>
            <w:tcW w:w="417" w:type="pct"/>
            <w:vMerge/>
            <w:shd w:val="clear" w:color="auto" w:fill="auto"/>
            <w:vAlign w:val="center"/>
          </w:tcPr>
          <w:p w14:paraId="733A2A02"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733A2A03" w14:textId="77777777" w:rsidR="00CB34E5" w:rsidRPr="00E951B7" w:rsidRDefault="00F76B25" w:rsidP="00E951B7">
            <w:pPr>
              <w:pStyle w:val="Heading1"/>
              <w:rPr>
                <w:b w:val="0"/>
              </w:rPr>
            </w:pPr>
            <w:r>
              <w:rPr>
                <w:rFonts w:ascii="Arial" w:hAnsi="Arial"/>
                <w:sz w:val="22"/>
                <w:szCs w:val="22"/>
              </w:rPr>
              <w:t>Upućeni radnici</w:t>
            </w:r>
          </w:p>
        </w:tc>
        <w:tc>
          <w:tcPr>
            <w:tcW w:w="3576" w:type="pct"/>
            <w:shd w:val="clear" w:color="auto" w:fill="auto"/>
            <w:vAlign w:val="center"/>
          </w:tcPr>
          <w:p w14:paraId="733A2A04" w14:textId="77777777" w:rsidR="00861F67" w:rsidRPr="00E951B7" w:rsidRDefault="00F76B25" w:rsidP="008768AF">
            <w:pPr>
              <w:rPr>
                <w:rFonts w:ascii="Arial" w:hAnsi="Arial" w:cs="Arial"/>
                <w:sz w:val="22"/>
                <w:szCs w:val="22"/>
              </w:rPr>
            </w:pPr>
            <w:r>
              <w:rPr>
                <w:rFonts w:ascii="Arial" w:hAnsi="Arial"/>
                <w:sz w:val="22"/>
                <w:szCs w:val="22"/>
              </w:rPr>
              <w:t>Upućeni radnik osoba je koja određeno vrijeme radi izvan države članice u kojoj uobičajeno radi. Ako vaša organizacija bude trebala upućivati radnike u drugu državu članicu, trebat ćete se upoznati s povezanim pravilima i postupcima.</w:t>
            </w:r>
          </w:p>
          <w:p w14:paraId="733A2A05" w14:textId="0937BAD0" w:rsidR="001E48BB" w:rsidRPr="00E951B7" w:rsidRDefault="00051FD4" w:rsidP="008768AF">
            <w:pPr>
              <w:rPr>
                <w:rFonts w:ascii="Arial" w:hAnsi="Arial" w:cs="Arial"/>
                <w:sz w:val="22"/>
                <w:szCs w:val="22"/>
              </w:rPr>
            </w:pPr>
            <w:r>
              <w:rPr>
                <w:rFonts w:ascii="Arial" w:hAnsi="Arial"/>
                <w:sz w:val="22"/>
                <w:szCs w:val="22"/>
              </w:rPr>
              <w:t>Informacije možete pronaći u odjeljku „</w:t>
            </w:r>
            <w:hyperlink r:id="rId9" w:history="1">
              <w:r>
                <w:rPr>
                  <w:rStyle w:val="Hyperlink"/>
                  <w:rFonts w:ascii="Arial" w:hAnsi="Arial"/>
                  <w:sz w:val="22"/>
                  <w:szCs w:val="22"/>
                </w:rPr>
                <w:t>Upućeni radnici</w:t>
              </w:r>
            </w:hyperlink>
            <w:r>
              <w:rPr>
                <w:rFonts w:ascii="Arial" w:hAnsi="Arial"/>
                <w:sz w:val="22"/>
                <w:szCs w:val="22"/>
              </w:rPr>
              <w:t xml:space="preserve">” </w:t>
            </w:r>
            <w:r>
              <w:rPr>
                <w:rFonts w:ascii="Arial" w:hAnsi="Arial"/>
                <w:sz w:val="18"/>
                <w:szCs w:val="18"/>
              </w:rPr>
              <w:t xml:space="preserve"> </w:t>
            </w:r>
            <w:r>
              <w:rPr>
                <w:rFonts w:ascii="Arial" w:hAnsi="Arial"/>
                <w:sz w:val="22"/>
                <w:szCs w:val="22"/>
              </w:rPr>
              <w:t>na portalu Europa. Pogledajte i stranicu koja sadržava informacije i kontakte na nacionalnoj razini.</w:t>
            </w:r>
          </w:p>
          <w:p w14:paraId="733A2A06" w14:textId="44307692" w:rsidR="00694FF6" w:rsidRPr="003C6DAE" w:rsidRDefault="001E48BB" w:rsidP="00584FF5">
            <w:r>
              <w:rPr>
                <w:rFonts w:ascii="Arial" w:hAnsi="Arial"/>
                <w:sz w:val="22"/>
                <w:szCs w:val="22"/>
              </w:rPr>
              <w:t xml:space="preserve">Možete i proučiti i preuzeti vodič </w:t>
            </w:r>
            <w:hyperlink r:id="rId10" w:history="1">
              <w:r w:rsidRPr="00C12D85">
                <w:rPr>
                  <w:rStyle w:val="Hyperlink"/>
                  <w:rFonts w:ascii="Arial" w:hAnsi="Arial"/>
                  <w:i/>
                  <w:sz w:val="22"/>
                  <w:szCs w:val="22"/>
                </w:rPr>
                <w:t>Practical guide for the posting of workers in the Member States of the European Union, and the European Economic Area and in Switzerland</w:t>
              </w:r>
              <w:r w:rsidRPr="00C12D85">
                <w:rPr>
                  <w:rStyle w:val="Hyperlink"/>
                  <w:rFonts w:ascii="Arial" w:hAnsi="Arial"/>
                  <w:sz w:val="22"/>
                  <w:szCs w:val="22"/>
                </w:rPr>
                <w:t xml:space="preserve"> (Praktični vodič za upućivanje radnika u državama članicama Europske unije, Europskom gospodarskom prostoru i Švicarskoj)</w:t>
              </w:r>
            </w:hyperlink>
            <w:r>
              <w:rPr>
                <w:rFonts w:ascii="Arial" w:hAnsi="Arial"/>
                <w:sz w:val="22"/>
                <w:szCs w:val="22"/>
              </w:rPr>
              <w:t xml:space="preserve"> ili posjetiti </w:t>
            </w:r>
            <w:hyperlink r:id="rId11" w:history="1">
              <w:r>
                <w:rPr>
                  <w:rStyle w:val="Hyperlink"/>
                  <w:rFonts w:ascii="Arial" w:hAnsi="Arial"/>
                  <w:sz w:val="22"/>
                  <w:szCs w:val="22"/>
                </w:rPr>
                <w:t>mrežno mjesto</w:t>
              </w:r>
              <w:r>
                <w:rPr>
                  <w:rStyle w:val="Hyperlink"/>
                  <w:rFonts w:ascii="Arial" w:hAnsi="Arial"/>
                  <w:sz w:val="22"/>
                  <w:szCs w:val="22"/>
                </w:rPr>
                <w:t xml:space="preserve"> </w:t>
              </w:r>
              <w:r>
                <w:rPr>
                  <w:rStyle w:val="Hyperlink"/>
                  <w:rFonts w:ascii="Arial" w:hAnsi="Arial"/>
                  <w:sz w:val="22"/>
                  <w:szCs w:val="22"/>
                </w:rPr>
                <w:t>Eurofounda</w:t>
              </w:r>
            </w:hyperlink>
            <w:r>
              <w:rPr>
                <w:rFonts w:ascii="Arial" w:hAnsi="Arial"/>
                <w:sz w:val="22"/>
                <w:szCs w:val="22"/>
              </w:rPr>
              <w:t xml:space="preserve"> </w:t>
            </w:r>
            <w:r>
              <w:rPr>
                <w:rFonts w:ascii="Arial" w:hAnsi="Arial"/>
                <w:sz w:val="16"/>
                <w:szCs w:val="16"/>
              </w:rPr>
              <w:t>(https://www.eurofound.europa.eu/observatories/eurwork/industrial-relations-dictionary/posted-workers)</w:t>
            </w:r>
            <w:r>
              <w:rPr>
                <w:rFonts w:ascii="Arial" w:hAnsi="Arial"/>
              </w:rPr>
              <w:t>.</w:t>
            </w:r>
          </w:p>
        </w:tc>
      </w:tr>
      <w:tr w:rsidR="00E04622" w14:paraId="733A2A0B" w14:textId="77777777" w:rsidTr="00136DCB">
        <w:trPr>
          <w:cantSplit/>
          <w:trHeight w:val="1701"/>
        </w:trPr>
        <w:tc>
          <w:tcPr>
            <w:tcW w:w="417" w:type="pct"/>
            <w:shd w:val="clear" w:color="auto" w:fill="auto"/>
            <w:textDirection w:val="btLr"/>
            <w:vAlign w:val="center"/>
          </w:tcPr>
          <w:p w14:paraId="733A2A08"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Praktični aspekti</w:t>
            </w:r>
          </w:p>
        </w:tc>
        <w:tc>
          <w:tcPr>
            <w:tcW w:w="1007" w:type="pct"/>
            <w:shd w:val="clear" w:color="auto" w:fill="auto"/>
            <w:vAlign w:val="center"/>
          </w:tcPr>
          <w:p w14:paraId="733A2A09" w14:textId="77777777" w:rsidR="001B769C" w:rsidRPr="00E951B7" w:rsidRDefault="00D31040" w:rsidP="00E951B7">
            <w:pPr>
              <w:pStyle w:val="Heading1"/>
              <w:rPr>
                <w:rFonts w:ascii="Arial" w:hAnsi="Arial" w:cs="Arial"/>
                <w:sz w:val="22"/>
                <w:szCs w:val="22"/>
              </w:rPr>
            </w:pPr>
            <w:r>
              <w:rPr>
                <w:rFonts w:ascii="Arial" w:hAnsi="Arial"/>
                <w:bCs w:val="0"/>
                <w:sz w:val="22"/>
                <w:szCs w:val="22"/>
              </w:rPr>
              <w:t>Smještaj/stanovanje</w:t>
            </w:r>
          </w:p>
        </w:tc>
        <w:tc>
          <w:tcPr>
            <w:tcW w:w="3576" w:type="pct"/>
            <w:shd w:val="clear" w:color="auto" w:fill="auto"/>
            <w:vAlign w:val="center"/>
          </w:tcPr>
          <w:p w14:paraId="733A2A0A" w14:textId="77777777" w:rsidR="00C3223F" w:rsidRPr="00E951B7" w:rsidRDefault="00D31040" w:rsidP="00E951B7">
            <w:pPr>
              <w:spacing w:before="120" w:after="120"/>
              <w:rPr>
                <w:rFonts w:ascii="Arial" w:hAnsi="Arial" w:cs="Arial"/>
                <w:sz w:val="22"/>
                <w:szCs w:val="22"/>
              </w:rPr>
            </w:pPr>
            <w:r>
              <w:rPr>
                <w:rFonts w:ascii="Arial" w:hAnsi="Arial"/>
                <w:bCs/>
                <w:sz w:val="22"/>
                <w:szCs w:val="22"/>
              </w:rPr>
              <w:t>Razmislite o praktičnim koracima koje će novi zaposlenik iz inozemstva trebati poduzeti kako bi pronašao smještaj ili stambeni prostor. Je li dostupan na lokalnom području? Kako ga pronaći i kolike su cijene? Možete li pružiti savjet ili potporu novom zaposleniku?</w:t>
            </w:r>
            <w:r>
              <w:rPr>
                <w:rFonts w:ascii="Arial" w:hAnsi="Arial"/>
                <w:sz w:val="22"/>
                <w:szCs w:val="22"/>
              </w:rPr>
              <w:t xml:space="preserve"> </w:t>
            </w:r>
          </w:p>
        </w:tc>
      </w:tr>
      <w:tr w:rsidR="00E04622" w14:paraId="733A2A0F" w14:textId="77777777" w:rsidTr="00136DCB">
        <w:trPr>
          <w:cantSplit/>
          <w:trHeight w:val="1701"/>
        </w:trPr>
        <w:tc>
          <w:tcPr>
            <w:tcW w:w="417" w:type="pct"/>
            <w:vMerge w:val="restart"/>
            <w:shd w:val="clear" w:color="auto" w:fill="auto"/>
            <w:textDirection w:val="btLr"/>
            <w:vAlign w:val="center"/>
          </w:tcPr>
          <w:p w14:paraId="733A2A0C" w14:textId="77777777" w:rsidR="004A2234" w:rsidRPr="00E951B7" w:rsidRDefault="004A2234" w:rsidP="00E951B7">
            <w:pPr>
              <w:jc w:val="center"/>
              <w:rPr>
                <w:rFonts w:ascii="Arial" w:hAnsi="Arial" w:cs="Arial"/>
                <w:b/>
                <w:sz w:val="20"/>
                <w:szCs w:val="20"/>
              </w:rPr>
            </w:pPr>
            <w:r>
              <w:rPr>
                <w:rFonts w:ascii="Arial" w:hAnsi="Arial"/>
                <w:b/>
                <w:sz w:val="20"/>
                <w:szCs w:val="20"/>
              </w:rPr>
              <w:t>Jezični, obrazovni i kulturni čimbenici</w:t>
            </w:r>
          </w:p>
        </w:tc>
        <w:tc>
          <w:tcPr>
            <w:tcW w:w="1007" w:type="pct"/>
            <w:shd w:val="clear" w:color="auto" w:fill="auto"/>
            <w:vAlign w:val="center"/>
          </w:tcPr>
          <w:p w14:paraId="733A2A0D" w14:textId="77777777" w:rsidR="004A2234" w:rsidRPr="00E951B7" w:rsidRDefault="004A2234" w:rsidP="00A866F5">
            <w:pPr>
              <w:pStyle w:val="Heading1"/>
              <w:rPr>
                <w:rFonts w:ascii="Arial" w:hAnsi="Arial" w:cs="Arial"/>
                <w:sz w:val="22"/>
                <w:szCs w:val="22"/>
              </w:rPr>
            </w:pPr>
            <w:r>
              <w:rPr>
                <w:rFonts w:ascii="Arial" w:hAnsi="Arial"/>
                <w:sz w:val="22"/>
                <w:szCs w:val="22"/>
              </w:rPr>
              <w:t>Jezične prepreke</w:t>
            </w:r>
          </w:p>
        </w:tc>
        <w:tc>
          <w:tcPr>
            <w:tcW w:w="3576" w:type="pct"/>
            <w:shd w:val="clear" w:color="auto" w:fill="auto"/>
            <w:vAlign w:val="center"/>
          </w:tcPr>
          <w:p w14:paraId="733A2A0E" w14:textId="77777777" w:rsidR="004A2234" w:rsidRPr="00E951B7" w:rsidRDefault="004A2234" w:rsidP="00E951B7">
            <w:pPr>
              <w:spacing w:before="120" w:after="120"/>
              <w:rPr>
                <w:rFonts w:ascii="Arial" w:hAnsi="Arial" w:cs="Arial"/>
                <w:sz w:val="22"/>
                <w:szCs w:val="22"/>
              </w:rPr>
            </w:pPr>
            <w:r>
              <w:rPr>
                <w:rFonts w:ascii="Arial" w:hAnsi="Arial"/>
                <w:sz w:val="22"/>
                <w:szCs w:val="22"/>
              </w:rPr>
              <w:t>Razmislite o razini jezične kompetencije koju vaši kandidati trebaju imati. Ako se ne služe tečno jezikom, ali su svejedno prikladni kandidati za posao, trebate dobro razmisliti o tome kako ćete se sporazumijevati s njima. Telefonski razgovor može biti posebno problematičan za kandidata.</w:t>
            </w:r>
          </w:p>
        </w:tc>
      </w:tr>
      <w:tr w:rsidR="00E04622" w14:paraId="733A2A13" w14:textId="77777777" w:rsidTr="00136DCB">
        <w:trPr>
          <w:cantSplit/>
          <w:trHeight w:val="1701"/>
        </w:trPr>
        <w:tc>
          <w:tcPr>
            <w:tcW w:w="417" w:type="pct"/>
            <w:vMerge/>
            <w:shd w:val="clear" w:color="auto" w:fill="auto"/>
            <w:textDirection w:val="btLr"/>
          </w:tcPr>
          <w:p w14:paraId="733A2A10"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733A2A11" w14:textId="77777777" w:rsidR="004A2234" w:rsidRPr="00E951B7" w:rsidRDefault="004A2234" w:rsidP="00A866F5">
            <w:pPr>
              <w:pStyle w:val="Heading1"/>
              <w:rPr>
                <w:rFonts w:ascii="Arial" w:hAnsi="Arial" w:cs="Arial"/>
                <w:sz w:val="22"/>
                <w:szCs w:val="22"/>
              </w:rPr>
            </w:pPr>
            <w:r>
              <w:rPr>
                <w:rFonts w:ascii="Arial" w:hAnsi="Arial"/>
                <w:bCs w:val="0"/>
                <w:sz w:val="22"/>
                <w:szCs w:val="22"/>
              </w:rPr>
              <w:t>Razlike među zemljama</w:t>
            </w:r>
          </w:p>
        </w:tc>
        <w:tc>
          <w:tcPr>
            <w:tcW w:w="3576" w:type="pct"/>
            <w:shd w:val="clear" w:color="auto" w:fill="auto"/>
            <w:vAlign w:val="center"/>
          </w:tcPr>
          <w:p w14:paraId="733A2A12" w14:textId="77777777" w:rsidR="004A2234" w:rsidRPr="00E951B7" w:rsidRDefault="004A2234" w:rsidP="00E951B7">
            <w:pPr>
              <w:spacing w:before="120" w:after="120"/>
              <w:rPr>
                <w:rFonts w:ascii="Arial" w:hAnsi="Arial" w:cs="Arial"/>
                <w:sz w:val="22"/>
                <w:szCs w:val="22"/>
              </w:rPr>
            </w:pPr>
            <w:r>
              <w:rPr>
                <w:rFonts w:ascii="Arial" w:hAnsi="Arial"/>
                <w:sz w:val="22"/>
                <w:szCs w:val="22"/>
              </w:rPr>
              <w:t>Nacionalni se zakoni o zapošljavanju razlikuju i možda će vam radnike iz određenih zemalja biti teže zaposliti. Na primjer, možda ćete se morati registrirati ako predstavljate agenciju za zapošljavanje. Prije nego što započnete postupak zapošljavanja, provjerite postoje li administrativne prepreke.</w:t>
            </w:r>
          </w:p>
        </w:tc>
      </w:tr>
      <w:tr w:rsidR="00E04622" w14:paraId="733A2A17" w14:textId="77777777" w:rsidTr="00136DCB">
        <w:trPr>
          <w:cantSplit/>
          <w:trHeight w:val="1701"/>
        </w:trPr>
        <w:tc>
          <w:tcPr>
            <w:tcW w:w="417" w:type="pct"/>
            <w:vMerge/>
            <w:shd w:val="clear" w:color="auto" w:fill="auto"/>
            <w:textDirection w:val="btLr"/>
          </w:tcPr>
          <w:p w14:paraId="733A2A14"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733A2A15" w14:textId="77777777" w:rsidR="004A2234" w:rsidRPr="00E951B7" w:rsidRDefault="004A2234" w:rsidP="00A866F5">
            <w:pPr>
              <w:rPr>
                <w:rFonts w:ascii="Arial" w:hAnsi="Arial" w:cs="Arial"/>
                <w:b/>
                <w:sz w:val="22"/>
                <w:szCs w:val="22"/>
              </w:rPr>
            </w:pPr>
            <w:r>
              <w:rPr>
                <w:rFonts w:ascii="Arial" w:hAnsi="Arial"/>
                <w:b/>
                <w:sz w:val="22"/>
                <w:szCs w:val="22"/>
              </w:rPr>
              <w:t>Kulturne razlike</w:t>
            </w:r>
          </w:p>
        </w:tc>
        <w:tc>
          <w:tcPr>
            <w:tcW w:w="3576" w:type="pct"/>
            <w:shd w:val="clear" w:color="auto" w:fill="auto"/>
            <w:vAlign w:val="center"/>
          </w:tcPr>
          <w:p w14:paraId="733A2A16" w14:textId="77777777" w:rsidR="004A2234" w:rsidRPr="00E951B7" w:rsidRDefault="004A2234" w:rsidP="00E951B7">
            <w:pPr>
              <w:spacing w:before="120" w:after="120"/>
              <w:rPr>
                <w:rFonts w:ascii="Arial" w:hAnsi="Arial" w:cs="Arial"/>
                <w:sz w:val="22"/>
                <w:szCs w:val="22"/>
              </w:rPr>
            </w:pPr>
            <w:r>
              <w:rPr>
                <w:rFonts w:ascii="Arial" w:hAnsi="Arial"/>
                <w:sz w:val="22"/>
                <w:szCs w:val="22"/>
              </w:rPr>
              <w:t>Prakse zapošljavanja razlikuju se od zemlje do zemlje, kao i formalnosti između poslodavaca i podnositelja prijava. Ako je ponašanje podnositelja prijave neuobičajeno, možda je samo riječ o kulturnoj razlici. Nemojte dopustiti da to utječe na vašu odluku – umjesto toga usredotočite se na njihove vještine i sposobnosti.</w:t>
            </w:r>
          </w:p>
        </w:tc>
      </w:tr>
      <w:tr w:rsidR="00E04622" w14:paraId="733A2A1B" w14:textId="77777777" w:rsidTr="00136DCB">
        <w:trPr>
          <w:cantSplit/>
          <w:trHeight w:val="1644"/>
        </w:trPr>
        <w:tc>
          <w:tcPr>
            <w:tcW w:w="417" w:type="pct"/>
            <w:vMerge/>
            <w:shd w:val="clear" w:color="auto" w:fill="auto"/>
          </w:tcPr>
          <w:p w14:paraId="733A2A18"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733A2A19"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Kvalifikacije </w:t>
            </w:r>
          </w:p>
        </w:tc>
        <w:tc>
          <w:tcPr>
            <w:tcW w:w="3576" w:type="pct"/>
            <w:tcBorders>
              <w:bottom w:val="single" w:sz="4" w:space="0" w:color="auto"/>
            </w:tcBorders>
            <w:shd w:val="clear" w:color="auto" w:fill="auto"/>
            <w:vAlign w:val="center"/>
          </w:tcPr>
          <w:p w14:paraId="733A2A1A" w14:textId="77777777" w:rsidR="004A2234" w:rsidRPr="00E951B7" w:rsidRDefault="004A2234" w:rsidP="00E951B7">
            <w:pPr>
              <w:spacing w:before="120" w:after="120"/>
              <w:rPr>
                <w:rFonts w:ascii="Arial" w:hAnsi="Arial" w:cs="Arial"/>
                <w:sz w:val="22"/>
                <w:szCs w:val="22"/>
              </w:rPr>
            </w:pPr>
            <w:r>
              <w:rPr>
                <w:rFonts w:ascii="Arial" w:hAnsi="Arial"/>
                <w:sz w:val="22"/>
                <w:szCs w:val="22"/>
              </w:rPr>
              <w:t>Kandidati za obavljanje reguliranih profesija trebat će se registrirati pri odgovarajućem tijelu kako bi osigurali priznavanje svojih kvalifikacija. Mreže ENIC-NARIC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omogućuju priznavanje akademskih, stručnih i strukovnih kvalifikacija u Europi.</w:t>
            </w:r>
          </w:p>
        </w:tc>
      </w:tr>
      <w:tr w:rsidR="00E04622" w14:paraId="733A2A1E" w14:textId="77777777" w:rsidTr="00A3467B">
        <w:trPr>
          <w:cantSplit/>
          <w:trHeight w:val="567"/>
        </w:trPr>
        <w:tc>
          <w:tcPr>
            <w:tcW w:w="417" w:type="pct"/>
            <w:vMerge w:val="restart"/>
            <w:shd w:val="clear" w:color="auto" w:fill="auto"/>
            <w:textDirection w:val="btLr"/>
            <w:vAlign w:val="center"/>
          </w:tcPr>
          <w:p w14:paraId="733A2A1C" w14:textId="77777777" w:rsidR="004A2234" w:rsidRPr="00E951B7" w:rsidRDefault="004A2234" w:rsidP="00E951B7">
            <w:pPr>
              <w:ind w:left="113" w:right="113"/>
              <w:rPr>
                <w:rFonts w:ascii="Arial" w:hAnsi="Arial" w:cs="Arial"/>
                <w:b/>
                <w:color w:val="000000"/>
                <w:sz w:val="20"/>
                <w:szCs w:val="20"/>
              </w:rPr>
            </w:pPr>
            <w:r>
              <w:rPr>
                <w:rFonts w:ascii="Arial" w:hAnsi="Arial"/>
                <w:b/>
                <w:color w:val="000000"/>
                <w:sz w:val="20"/>
                <w:szCs w:val="20"/>
              </w:rPr>
              <w:t>EURES vam može pomoći!</w:t>
            </w:r>
          </w:p>
        </w:tc>
        <w:tc>
          <w:tcPr>
            <w:tcW w:w="4583" w:type="pct"/>
            <w:gridSpan w:val="2"/>
            <w:tcBorders>
              <w:bottom w:val="nil"/>
            </w:tcBorders>
            <w:shd w:val="clear" w:color="auto" w:fill="auto"/>
            <w:vAlign w:val="center"/>
          </w:tcPr>
          <w:p w14:paraId="733A2A1D" w14:textId="5BE3BA33" w:rsidR="004A2234" w:rsidRPr="00E951B7" w:rsidRDefault="004A2234" w:rsidP="00584FF5">
            <w:pPr>
              <w:spacing w:before="120" w:after="120"/>
              <w:ind w:left="1814"/>
              <w:rPr>
                <w:rFonts w:ascii="Arial" w:hAnsi="Arial" w:cs="Arial"/>
                <w:sz w:val="22"/>
                <w:szCs w:val="22"/>
              </w:rPr>
            </w:pPr>
            <w:r>
              <w:rPr>
                <w:rFonts w:ascii="Arial" w:hAnsi="Arial"/>
                <w:i/>
                <w:color w:val="000000"/>
                <w:sz w:val="22"/>
                <w:szCs w:val="22"/>
              </w:rPr>
              <w:t>Nakon što razmislite o prethodno navedenom,</w:t>
            </w:r>
          </w:p>
        </w:tc>
      </w:tr>
      <w:tr w:rsidR="00E04622" w14:paraId="733A2A23" w14:textId="77777777" w:rsidTr="00A3467B">
        <w:trPr>
          <w:cantSplit/>
          <w:trHeight w:val="1701"/>
        </w:trPr>
        <w:tc>
          <w:tcPr>
            <w:tcW w:w="417" w:type="pct"/>
            <w:vMerge/>
            <w:shd w:val="clear" w:color="auto" w:fill="auto"/>
            <w:textDirection w:val="btLr"/>
          </w:tcPr>
          <w:p w14:paraId="733A2A1F"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733A2A20"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Pronađite lokalnog savjetnika EURES-a</w:t>
            </w:r>
          </w:p>
          <w:p w14:paraId="733A2A21" w14:textId="3A32D811" w:rsidR="004A2234" w:rsidRPr="00E951B7" w:rsidRDefault="004A2234" w:rsidP="004A2234">
            <w:pPr>
              <w:rPr>
                <w:rFonts w:ascii="Arial" w:hAnsi="Arial" w:cs="Arial"/>
                <w:i/>
                <w:color w:val="000000"/>
                <w:sz w:val="20"/>
                <w:szCs w:val="20"/>
              </w:rPr>
            </w:pPr>
            <w:r>
              <w:rPr>
                <w:rFonts w:ascii="Arial" w:hAnsi="Arial"/>
                <w:color w:val="000000"/>
                <w:sz w:val="20"/>
                <w:szCs w:val="20"/>
              </w:rPr>
              <w:t>(potražite poveznicu „</w:t>
            </w:r>
            <w:hyperlink r:id="rId13" w:history="1">
              <w:r w:rsidRPr="00136DCB">
                <w:rPr>
                  <w:rStyle w:val="Hyperlink"/>
                  <w:rFonts w:ascii="Arial" w:hAnsi="Arial"/>
                  <w:sz w:val="20"/>
                  <w:szCs w:val="20"/>
                </w:rPr>
                <w:t>Kontaktirajte EURES savjetnika</w:t>
              </w:r>
            </w:hyperlink>
            <w:r>
              <w:rPr>
                <w:rFonts w:ascii="Arial" w:hAnsi="Arial"/>
                <w:color w:val="000000"/>
                <w:sz w:val="20"/>
                <w:szCs w:val="20"/>
              </w:rPr>
              <w:t>” na portalu EURES-a)</w:t>
            </w:r>
          </w:p>
        </w:tc>
        <w:tc>
          <w:tcPr>
            <w:tcW w:w="3576" w:type="pct"/>
            <w:tcBorders>
              <w:top w:val="nil"/>
            </w:tcBorders>
            <w:shd w:val="clear" w:color="auto" w:fill="auto"/>
            <w:vAlign w:val="center"/>
          </w:tcPr>
          <w:p w14:paraId="733A2A22"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Ako vam je potreban savjet o zapošljavanju u drugoj zemlji, potražite podatke za kontakt najbližeg savjetnika EURES-a. Najprije se obratite lokalnom savjetniku EURES-a – on je vaša poveznica sa širom mrežom jer vam može dati detaljnije informacije o prethodno navedenim stavkama.</w:t>
            </w:r>
          </w:p>
        </w:tc>
      </w:tr>
    </w:tbl>
    <w:p w14:paraId="733A2A24"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6EBD" w14:textId="77777777" w:rsidR="001F379C" w:rsidRDefault="001F379C">
      <w:r>
        <w:separator/>
      </w:r>
    </w:p>
  </w:endnote>
  <w:endnote w:type="continuationSeparator" w:id="0">
    <w:p w14:paraId="6BCC957F" w14:textId="77777777" w:rsidR="001F379C" w:rsidRDefault="001F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2A2D"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733A2A2E"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2A2F"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733A2A30"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61B0" w14:textId="77777777" w:rsidR="001F379C" w:rsidRDefault="001F379C">
      <w:r>
        <w:separator/>
      </w:r>
    </w:p>
  </w:footnote>
  <w:footnote w:type="continuationSeparator" w:id="0">
    <w:p w14:paraId="3D6264E2" w14:textId="77777777" w:rsidR="001F379C" w:rsidRDefault="001F3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F08AC"/>
    <w:rsid w:val="000F2865"/>
    <w:rsid w:val="00100A8B"/>
    <w:rsid w:val="001012FF"/>
    <w:rsid w:val="00114446"/>
    <w:rsid w:val="0011596B"/>
    <w:rsid w:val="00136DCB"/>
    <w:rsid w:val="0016112F"/>
    <w:rsid w:val="00165788"/>
    <w:rsid w:val="00176E24"/>
    <w:rsid w:val="001B2FDE"/>
    <w:rsid w:val="001B769C"/>
    <w:rsid w:val="001C30F1"/>
    <w:rsid w:val="001D2D18"/>
    <w:rsid w:val="001D4969"/>
    <w:rsid w:val="001D72DE"/>
    <w:rsid w:val="001E24EB"/>
    <w:rsid w:val="001E426B"/>
    <w:rsid w:val="001E48BB"/>
    <w:rsid w:val="001F0494"/>
    <w:rsid w:val="001F379C"/>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24988"/>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12D85"/>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61FE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A29DE"/>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hr" TargetMode="External"/><Relationship Id="rId13" Type="http://schemas.openxmlformats.org/officeDocument/2006/relationships/hyperlink" Target="https://europa.eu/eures/portal/um/search-for-advisers?lang=hr" TargetMode="External"/><Relationship Id="rId3" Type="http://schemas.openxmlformats.org/officeDocument/2006/relationships/webSettings" Target="webSettings.xml"/><Relationship Id="rId7" Type="http://schemas.openxmlformats.org/officeDocument/2006/relationships/hyperlink" Target="https://eures.europa.eu/living-and-working_hr"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home.jsp?langId=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5</cp:revision>
  <cp:lastPrinted>2007-07-12T11:38:00Z</cp:lastPrinted>
  <dcterms:created xsi:type="dcterms:W3CDTF">2024-04-29T09:04:00Z</dcterms:created>
  <dcterms:modified xsi:type="dcterms:W3CDTF">2024-04-29T09:08:00Z</dcterms:modified>
</cp:coreProperties>
</file>