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6584" w14:textId="77777777" w:rsidR="00F85B99" w:rsidRPr="003C6DAE" w:rsidRDefault="00D87109" w:rsidP="00F85B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4065CB" wp14:editId="604065CC">
                <wp:simplePos x="0" y="0"/>
                <wp:positionH relativeFrom="column">
                  <wp:posOffset>2395855</wp:posOffset>
                </wp:positionH>
                <wp:positionV relativeFrom="paragraph">
                  <wp:posOffset>224155</wp:posOffset>
                </wp:positionV>
                <wp:extent cx="3314700" cy="1381125"/>
                <wp:effectExtent l="0" t="0" r="19050" b="285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65D7" w14:textId="77777777" w:rsidR="002000A7" w:rsidRDefault="002000A7" w:rsidP="004D46DF">
                            <w:pPr>
                              <w:spacing w:before="160" w:after="160" w:line="48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Následujícím otázkám věnujte pozornost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PŘED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náborem pracovních sil ze zahraničí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065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8.65pt;margin-top:17.65pt;width:261pt;height:10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">
                <v:textbox>
                  <w:txbxContent>
                    <w:p w14:paraId="604065D7" w14:textId="77777777" w:rsidR="002000A7" w:rsidRDefault="002000A7" w:rsidP="004D46DF">
                      <w:pPr>
                        <w:spacing w:before="160" w:after="160" w:line="480" w:lineRule="auto"/>
                        <w:jc w:val="center"/>
                      </w:pPr>
                      <w:r>
                        <w:rPr>
                          <w:rFonts w:ascii="Arial" w:hAnsi="Arial"/>
                          <w:b/>
                        </w:rPr>
                        <w:t>Následujícím otázkám věnujte pozornost</w:t>
                      </w: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PŘED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</w:rPr>
                        <w:t>náborem pracovních sil ze zahraničí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604065CD" wp14:editId="604065CE">
            <wp:extent cx="1552575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" r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6585" w14:textId="77777777" w:rsidR="00292D82" w:rsidRPr="003C6DAE" w:rsidRDefault="00292D82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60406586" w14:textId="77777777" w:rsidR="008B3B4F" w:rsidRPr="003C6DAE" w:rsidRDefault="008B3B4F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60406587" w14:textId="77777777" w:rsidR="001B769C" w:rsidRPr="003C6DAE" w:rsidRDefault="001B769C"/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2111"/>
        <w:gridCol w:w="6085"/>
      </w:tblGrid>
      <w:tr w:rsidR="00E04622" w14:paraId="6040658B" w14:textId="77777777" w:rsidTr="00A3467B">
        <w:tc>
          <w:tcPr>
            <w:tcW w:w="417" w:type="pct"/>
            <w:shd w:val="clear" w:color="auto" w:fill="auto"/>
            <w:vAlign w:val="center"/>
          </w:tcPr>
          <w:p w14:paraId="60406588" w14:textId="77777777" w:rsidR="001B769C" w:rsidRPr="00E951B7" w:rsidRDefault="00950D6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Rozmyslete si…</w:t>
            </w:r>
          </w:p>
        </w:tc>
        <w:tc>
          <w:tcPr>
            <w:tcW w:w="4583" w:type="pct"/>
            <w:gridSpan w:val="2"/>
            <w:shd w:val="clear" w:color="auto" w:fill="auto"/>
            <w:vAlign w:val="center"/>
          </w:tcPr>
          <w:p w14:paraId="60406589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40658A" w14:textId="77777777" w:rsidR="001B769C" w:rsidRPr="00E951B7" w:rsidRDefault="001B769C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Postup</w:t>
            </w:r>
          </w:p>
        </w:tc>
      </w:tr>
      <w:tr w:rsidR="00E04622" w14:paraId="6040658F" w14:textId="77777777" w:rsidTr="00A3467B">
        <w:trPr>
          <w:cantSplit/>
          <w:trHeight w:val="141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6040658C" w14:textId="77777777" w:rsidR="00C3223F" w:rsidRPr="00E951B7" w:rsidRDefault="004B66E2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Poradenství a plánování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040658D" w14:textId="77777777" w:rsidR="00C3223F" w:rsidRPr="00E951B7" w:rsidRDefault="00C3223F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Místní služby zaměstnanosti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40658E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Než začnete hledat uchazeče ze zahraničí, zkuste kontaktovat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místní veřejnou službu zaměstnanosti</w:t>
            </w:r>
            <w:r>
              <w:rPr>
                <w:rFonts w:ascii="Arial" w:hAnsi="Arial"/>
                <w:sz w:val="22"/>
                <w:szCs w:val="22"/>
              </w:rPr>
              <w:t xml:space="preserve"> a projednat s ní vaše potřeby v oblasti náboru. Možná vám bude schopna nalézt vhodné uchazeče z bližší lokality.</w:t>
            </w:r>
          </w:p>
        </w:tc>
      </w:tr>
      <w:tr w:rsidR="00E04622" w14:paraId="60406593" w14:textId="77777777" w:rsidTr="00A3467B">
        <w:trPr>
          <w:trHeight w:val="1417"/>
        </w:trPr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06590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06591" w14:textId="77777777" w:rsidR="00C3223F" w:rsidRPr="00E951B7" w:rsidRDefault="00C3223F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Připravte si profil uchazeče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06592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Jaké specifické dovednosti, schopnosti a kvalifikace jsou pro danou pracovní pozici zapotřebí?</w:t>
            </w:r>
          </w:p>
        </w:tc>
      </w:tr>
      <w:tr w:rsidR="00E04622" w14:paraId="60406596" w14:textId="77777777" w:rsidTr="00A3467B">
        <w:trPr>
          <w:trHeight w:val="567"/>
        </w:trPr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06594" w14:textId="77777777" w:rsidR="004B66E2" w:rsidRPr="00E951B7" w:rsidRDefault="004B66E2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0406595" w14:textId="77777777" w:rsidR="004B66E2" w:rsidRPr="00E951B7" w:rsidRDefault="004B66E2" w:rsidP="00584FF5">
            <w:pPr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 xml:space="preserve">Rozhodnete-li se pro nábor ze zahraničí: </w:t>
            </w:r>
          </w:p>
        </w:tc>
      </w:tr>
      <w:tr w:rsidR="00E04622" w14:paraId="6040659A" w14:textId="77777777" w:rsidTr="00A3467B">
        <w:trPr>
          <w:trHeight w:val="1417"/>
        </w:trPr>
        <w:tc>
          <w:tcPr>
            <w:tcW w:w="417" w:type="pct"/>
            <w:vMerge/>
            <w:shd w:val="clear" w:color="auto" w:fill="auto"/>
            <w:vAlign w:val="center"/>
          </w:tcPr>
          <w:p w14:paraId="60406597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60406598" w14:textId="77777777" w:rsidR="00C3223F" w:rsidRPr="00E951B7" w:rsidRDefault="00C3223F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Vypracujte plán 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60406599" w14:textId="77777777" w:rsidR="00C3223F" w:rsidRPr="00E951B7" w:rsidRDefault="00C3223F" w:rsidP="00E951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Vymezte cíle, přínosy, rizika a náklady náboru pracovních sil ze zahraničí. Stanovte si termíny, neboť nalezení uchazečů ze zahraničí může trvat déle.</w:t>
            </w:r>
          </w:p>
        </w:tc>
      </w:tr>
      <w:tr w:rsidR="00E04622" w14:paraId="6040659F" w14:textId="77777777" w:rsidTr="00A3467B">
        <w:trPr>
          <w:trHeight w:val="1701"/>
        </w:trPr>
        <w:tc>
          <w:tcPr>
            <w:tcW w:w="417" w:type="pct"/>
            <w:vMerge/>
            <w:shd w:val="clear" w:color="auto" w:fill="auto"/>
            <w:vAlign w:val="center"/>
          </w:tcPr>
          <w:p w14:paraId="6040659B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040659C" w14:textId="77777777" w:rsidR="00C3223F" w:rsidRPr="00E951B7" w:rsidRDefault="00C3223F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Kontaktujte příslušné orgány</w:t>
            </w:r>
          </w:p>
          <w:p w14:paraId="6040659D" w14:textId="77777777" w:rsidR="00C3223F" w:rsidRPr="00E951B7" w:rsidRDefault="00C3223F" w:rsidP="008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(úřad evidence cizinců nebo obdobné služby ve vaší zemi)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40659E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Zjistěte, zda k náboru cizího státního příslušníka nemusíte provést ještě další kroky. Musí se tito pracovníci samostatně zaregistrovat nebo uhradit nějaké poplatky? </w:t>
            </w:r>
          </w:p>
        </w:tc>
      </w:tr>
      <w:tr w:rsidR="00E04622" w14:paraId="604065A3" w14:textId="77777777" w:rsidTr="00A3467B">
        <w:trPr>
          <w:cantSplit/>
          <w:trHeight w:val="1474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604065A0" w14:textId="77777777" w:rsidR="00E40C1E" w:rsidRPr="00E951B7" w:rsidRDefault="00E40C1E" w:rsidP="00E951B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Právní požadavky a vyslaní pracovníci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04065A1" w14:textId="77777777" w:rsidR="00E40C1E" w:rsidRPr="00E951B7" w:rsidRDefault="00F76B2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Postupy registrace a pracovní povolení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4065A2" w14:textId="33EFF138" w:rsidR="00E40C1E" w:rsidRPr="00E951B7" w:rsidRDefault="00F76B25" w:rsidP="008B6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Chcete přijmout pracovníky z jiných zemí v Evropském hospodářském prostoru (EHP) a potřebujete více informací o postupech registrace a pracovních povoleních? Pokud ano, v sekci „</w:t>
            </w:r>
            <w:hyperlink r:id="rId7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Život a práce</w:t>
              </w:r>
            </w:hyperlink>
            <w:r>
              <w:rPr>
                <w:rFonts w:ascii="Arial" w:hAnsi="Arial"/>
                <w:sz w:val="22"/>
                <w:szCs w:val="22"/>
              </w:rPr>
              <w:t>“ najdete informace o postupech registrace a povoleních k pobytu v jednotlivých zemích.</w:t>
            </w:r>
          </w:p>
        </w:tc>
      </w:tr>
      <w:tr w:rsidR="00E04622" w14:paraId="604065A7" w14:textId="77777777" w:rsidTr="00A3467B">
        <w:trPr>
          <w:trHeight w:val="1474"/>
        </w:trPr>
        <w:tc>
          <w:tcPr>
            <w:tcW w:w="417" w:type="pct"/>
            <w:vMerge/>
            <w:shd w:val="clear" w:color="auto" w:fill="auto"/>
            <w:vAlign w:val="center"/>
          </w:tcPr>
          <w:p w14:paraId="604065A4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04065A5" w14:textId="77777777" w:rsidR="00E40C1E" w:rsidRPr="00E951B7" w:rsidRDefault="00F76B25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Přechodná pravidla upravující volný pohyb pracovníků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4065A6" w14:textId="7511A9DD" w:rsidR="00E40C1E" w:rsidRPr="00E951B7" w:rsidRDefault="00F76B25" w:rsidP="004A2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 informace o přechodných pravidlech upravujících volný pohyb pracovníků z a do nových členských států a mezi nimi musíte navštívit sekci „</w:t>
            </w:r>
            <w:hyperlink r:id="rId8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Volný pohyb pracovníků</w:t>
              </w:r>
            </w:hyperlink>
            <w:r>
              <w:rPr>
                <w:rFonts w:ascii="Arial" w:hAnsi="Arial"/>
                <w:sz w:val="22"/>
                <w:szCs w:val="22"/>
              </w:rPr>
              <w:t>“ na portálu Europa.</w:t>
            </w:r>
          </w:p>
        </w:tc>
      </w:tr>
      <w:tr w:rsidR="00E04622" w14:paraId="604065AD" w14:textId="77777777" w:rsidTr="00A3467B">
        <w:trPr>
          <w:trHeight w:val="4025"/>
        </w:trPr>
        <w:tc>
          <w:tcPr>
            <w:tcW w:w="417" w:type="pct"/>
            <w:vMerge/>
            <w:shd w:val="clear" w:color="auto" w:fill="auto"/>
            <w:vAlign w:val="center"/>
          </w:tcPr>
          <w:p w14:paraId="604065A8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04065A9" w14:textId="77777777" w:rsidR="00CB34E5" w:rsidRPr="00E951B7" w:rsidRDefault="00F76B25" w:rsidP="00E951B7">
            <w:pPr>
              <w:pStyle w:val="Heading1"/>
              <w:rPr>
                <w:b w:val="0"/>
              </w:rPr>
            </w:pPr>
            <w:r>
              <w:rPr>
                <w:rFonts w:ascii="Arial" w:hAnsi="Arial"/>
                <w:sz w:val="22"/>
                <w:szCs w:val="22"/>
              </w:rPr>
              <w:t>Vyslaní pracovníci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4065AA" w14:textId="77777777" w:rsidR="00861F67" w:rsidRPr="00E951B7" w:rsidRDefault="00F76B25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Vyslaným pracovníkem se rozumí pracovník, který po omezenou dobu vykonává práci na území jiného členského státu než státu, ve kterém obvykle pracuje. Bude-li zapotřebí, aby vaše organizace vyslala pracovníky do jiného členského státu, budete se muset seznámit s příslušnými pravidly a postupy.</w:t>
            </w:r>
          </w:p>
          <w:p w14:paraId="604065AB" w14:textId="052771BD" w:rsidR="001E48BB" w:rsidRPr="00E951B7" w:rsidRDefault="00051FD4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Informace jsou k dispozici v sekci „</w:t>
            </w:r>
            <w:hyperlink r:id="rId9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Vyslaní pracovníci</w:t>
              </w:r>
            </w:hyperlink>
            <w:r>
              <w:rPr>
                <w:rFonts w:ascii="Arial" w:hAnsi="Arial"/>
                <w:sz w:val="22"/>
                <w:szCs w:val="22"/>
              </w:rPr>
              <w:t>“ na portálu Europa. Viz také internetové stránky s vnitrostátními informacemi a kontakty.</w:t>
            </w:r>
          </w:p>
          <w:p w14:paraId="604065AC" w14:textId="03C3626E" w:rsidR="00694FF6" w:rsidRPr="003C6DAE" w:rsidRDefault="001E48BB" w:rsidP="00584FF5">
            <w:r>
              <w:rPr>
                <w:rFonts w:ascii="Arial" w:hAnsi="Arial"/>
                <w:sz w:val="22"/>
                <w:szCs w:val="22"/>
              </w:rPr>
              <w:t xml:space="preserve">Můžete si rovněž prostudovat a stáhnout </w:t>
            </w:r>
            <w:hyperlink r:id="rId10" w:history="1">
              <w:r w:rsidRPr="00522F72">
                <w:rPr>
                  <w:rStyle w:val="Hyperlink"/>
                  <w:rFonts w:ascii="Arial" w:hAnsi="Arial"/>
                  <w:i/>
                  <w:iCs/>
                  <w:sz w:val="22"/>
                  <w:szCs w:val="22"/>
                </w:rPr>
                <w:t>„Praktického průvodce vysíláním pracovníků v členských státech Evropské unie, v Evropském hospodářském prostoru a ve Švýcarsku“</w:t>
              </w:r>
            </w:hyperlink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nebo navštívit </w:t>
            </w:r>
            <w:hyperlink r:id="rId11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internetové stránky nadace Eurofound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(https://www.eurofound.europa.eu/cs/node/52322)</w:t>
            </w:r>
          </w:p>
        </w:tc>
      </w:tr>
      <w:tr w:rsidR="00E04622" w14:paraId="604065B1" w14:textId="77777777" w:rsidTr="00A3467B">
        <w:trPr>
          <w:cantSplit/>
          <w:trHeight w:val="1417"/>
        </w:trPr>
        <w:tc>
          <w:tcPr>
            <w:tcW w:w="417" w:type="pct"/>
            <w:shd w:val="clear" w:color="auto" w:fill="auto"/>
            <w:textDirection w:val="btLr"/>
            <w:vAlign w:val="center"/>
          </w:tcPr>
          <w:p w14:paraId="604065AE" w14:textId="77777777" w:rsidR="001B769C" w:rsidRPr="00E951B7" w:rsidRDefault="00C3223F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Praktické aspekty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04065AF" w14:textId="77777777" w:rsidR="001B769C" w:rsidRPr="00E951B7" w:rsidRDefault="00D31040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Ubytování/bydlení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4065B0" w14:textId="77777777" w:rsidR="00C3223F" w:rsidRPr="00E951B7" w:rsidRDefault="00D31040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Zvažte praktické kroky, které bude muset nový zaměstnanec ze zahraničí podniknout, aby si našel ubytování nebo bydlení. Je ubytování/bydlení k dispozici přímo na místě? Jak je lze najít a kolik stojí? Můžete novému zaměstnanci poskytnout radu nebo podporu?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E04622" w14:paraId="604065B5" w14:textId="77777777" w:rsidTr="00A3467B">
        <w:trPr>
          <w:cantSplit/>
          <w:trHeight w:val="141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604065B2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Jazykové, akademické a kulturní faktory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04065B3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Jazykové bariéry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4065B4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Zamyslete se nad úrovní požadovaných jazykových kompetencí vašich uchazečů. Pokud požadovaným jazykem nehovoří plynně, ale přesto jsou pro danou práci vhodní, měli byste pečlivě rozmyslet, jak s nimi budete komunikovat. Telefonické přijímací pohovory mohou být pro tyto uchazeče velmi obtížné.</w:t>
            </w:r>
          </w:p>
        </w:tc>
      </w:tr>
      <w:tr w:rsidR="00E04622" w14:paraId="604065B9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604065B6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04065B7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Rozdíly mezi zeměmi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4065B8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Vnitrostátní právní předpisy v oblasti zaměstnanosti se liší a nábor pracovníků pro vás může být v některých zemích obtížnější než v jiných. Zastupujete-li náborovou agenturu, budete se možná muset zaregistrovat. Nežli začnete s náborem, zjistěte si případné administrativní překážky.</w:t>
            </w:r>
          </w:p>
        </w:tc>
      </w:tr>
      <w:tr w:rsidR="00E04622" w14:paraId="604065BD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604065BA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04065BB" w14:textId="77777777" w:rsidR="004A2234" w:rsidRPr="00E951B7" w:rsidRDefault="004A2234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Kulturní rozdíly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604065BC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Postupy náboru se v jednotlivých zemích liší, stejně jako formality mezi zaměstnavateli a uchazeči. Počíná-li si některý uchazeč jinak, než je běžné, může to být způsobeno pouhou kulturní rozdílností. Nedovolte, aby to ovlivnilo váš úsudek – zaměřte se na dovednosti a způsobilost uchazeče.</w:t>
            </w:r>
          </w:p>
        </w:tc>
      </w:tr>
      <w:tr w:rsidR="00E04622" w14:paraId="604065C1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</w:tcPr>
          <w:p w14:paraId="604065BE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065BF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Kvalifikace 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065C0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Uchazeči o regulovaná povolání se budou muset zaregistrovat u příslušného orgánu, aby bylo zajištěno uznání jejich kvalifikace. Branou k uznávání akademických, odborných a odborných kvalifikací v Evropě jsou sítě ENIC-NARIC (</w:t>
            </w:r>
            <w:hyperlink r:id="rId12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https://www.enic-naric.net/</w:t>
              </w:r>
            </w:hyperlink>
            <w:r>
              <w:rPr>
                <w:rFonts w:ascii="Arial" w:hAnsi="Arial"/>
                <w:color w:val="0000FF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E04622" w14:paraId="604065C4" w14:textId="77777777" w:rsidTr="00A3467B">
        <w:trPr>
          <w:cantSplit/>
          <w:trHeight w:val="56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604065C2" w14:textId="77777777" w:rsidR="004A2234" w:rsidRPr="00E951B7" w:rsidRDefault="004A2234" w:rsidP="00533F45">
            <w:pPr>
              <w:keepNext/>
              <w:ind w:left="113" w:right="1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lastRenderedPageBreak/>
              <w:t>EURES vám pomůže!</w:t>
            </w:r>
          </w:p>
        </w:tc>
        <w:tc>
          <w:tcPr>
            <w:tcW w:w="458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04065C3" w14:textId="77777777" w:rsidR="004A2234" w:rsidRPr="00E951B7" w:rsidRDefault="004A2234" w:rsidP="00533F45">
            <w:pPr>
              <w:keepNext/>
              <w:spacing w:before="120" w:after="120"/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Po zvážení výše uvedených aspektů:</w:t>
            </w:r>
          </w:p>
        </w:tc>
      </w:tr>
      <w:tr w:rsidR="00E04622" w14:paraId="604065C9" w14:textId="77777777" w:rsidTr="00533F45">
        <w:trPr>
          <w:cantSplit/>
          <w:trHeight w:val="1836"/>
        </w:trPr>
        <w:tc>
          <w:tcPr>
            <w:tcW w:w="417" w:type="pct"/>
            <w:vMerge/>
            <w:shd w:val="clear" w:color="auto" w:fill="auto"/>
            <w:textDirection w:val="btLr"/>
          </w:tcPr>
          <w:p w14:paraId="604065C5" w14:textId="77777777" w:rsidR="004A2234" w:rsidRPr="00E951B7" w:rsidRDefault="004A2234" w:rsidP="00E951B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604065C6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 w:val="0"/>
                <w:color w:val="000000"/>
                <w:sz w:val="22"/>
                <w:szCs w:val="22"/>
              </w:rPr>
              <w:t>Najděte svého místního poradce EURES</w:t>
            </w:r>
          </w:p>
          <w:p w14:paraId="604065C7" w14:textId="51CDA5C9" w:rsidR="004A2234" w:rsidRPr="00E951B7" w:rsidRDefault="004A2234" w:rsidP="004A223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viz odkaz </w:t>
            </w:r>
            <w:hyperlink r:id="rId13" w:history="1">
              <w:r w:rsidRPr="0064140C">
                <w:rPr>
                  <w:rStyle w:val="Hyperlink"/>
                  <w:rFonts w:ascii="Arial" w:hAnsi="Arial"/>
                  <w:i/>
                  <w:sz w:val="20"/>
                  <w:szCs w:val="20"/>
                </w:rPr>
                <w:t>„Kontaktovat poradce EURES“</w:t>
              </w:r>
            </w:hyperlink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na portálu EURES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604065C8" w14:textId="77777777" w:rsidR="004A2234" w:rsidRPr="00E951B7" w:rsidRDefault="004A2234" w:rsidP="00E951B7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Potřebujete-li poradit s náborem v jiné zemi, můžete si vyhledat údaje o nejbližším poradci EURES. Nejprve se obraťte na místního poradce EURES – právě ten je vaším spojením s širší sítí, neboť vám může poskytnout další podrobnosti k výše zmíněné problematice.</w:t>
            </w:r>
          </w:p>
        </w:tc>
      </w:tr>
    </w:tbl>
    <w:p w14:paraId="604065CA" w14:textId="77777777" w:rsidR="00C3223F" w:rsidRDefault="00C3223F" w:rsidP="004A2234"/>
    <w:sectPr w:rsidR="00C3223F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65D1" w14:textId="77777777" w:rsidR="00050D0F" w:rsidRDefault="00050D0F">
      <w:r>
        <w:separator/>
      </w:r>
    </w:p>
  </w:endnote>
  <w:endnote w:type="continuationSeparator" w:id="0">
    <w:p w14:paraId="604065D2" w14:textId="77777777" w:rsidR="00050D0F" w:rsidRDefault="0005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65D3" w14:textId="77777777" w:rsidR="00265E68" w:rsidRDefault="00265E68" w:rsidP="00D52491">
    <w:pPr>
      <w:pStyle w:val="Footer"/>
      <w:framePr w:wrap="around" w:vAnchor="text" w:hAnchor="margin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4065D4" w14:textId="77777777" w:rsidR="00265E68" w:rsidRDefault="00265E68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65D5" w14:textId="77777777" w:rsidR="00265E68" w:rsidRPr="006C3AA2" w:rsidRDefault="00265E68" w:rsidP="00D52491">
    <w:pPr>
      <w:pStyle w:val="Footer"/>
      <w:framePr w:wrap="around" w:vAnchor="text" w:hAnchor="margin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A866F5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14:paraId="604065D6" w14:textId="77777777" w:rsidR="00265E68" w:rsidRDefault="00265E68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65CF" w14:textId="77777777" w:rsidR="00050D0F" w:rsidRDefault="00050D0F">
      <w:r>
        <w:separator/>
      </w:r>
    </w:p>
  </w:footnote>
  <w:footnote w:type="continuationSeparator" w:id="0">
    <w:p w14:paraId="604065D0" w14:textId="77777777" w:rsidR="00050D0F" w:rsidRDefault="0005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3109D"/>
    <w:rsid w:val="00042409"/>
    <w:rsid w:val="000500F8"/>
    <w:rsid w:val="00050D0F"/>
    <w:rsid w:val="00051FD4"/>
    <w:rsid w:val="00064DB1"/>
    <w:rsid w:val="0006598A"/>
    <w:rsid w:val="00070A66"/>
    <w:rsid w:val="0008372F"/>
    <w:rsid w:val="00095465"/>
    <w:rsid w:val="000A23BA"/>
    <w:rsid w:val="000F08AC"/>
    <w:rsid w:val="000F2865"/>
    <w:rsid w:val="00100A8B"/>
    <w:rsid w:val="001012FF"/>
    <w:rsid w:val="00114446"/>
    <w:rsid w:val="0011596B"/>
    <w:rsid w:val="0016112F"/>
    <w:rsid w:val="00165788"/>
    <w:rsid w:val="00176E24"/>
    <w:rsid w:val="001B2FDE"/>
    <w:rsid w:val="001B769C"/>
    <w:rsid w:val="001C30F1"/>
    <w:rsid w:val="001D2D18"/>
    <w:rsid w:val="001D4969"/>
    <w:rsid w:val="001D72DE"/>
    <w:rsid w:val="001E24EB"/>
    <w:rsid w:val="001E426B"/>
    <w:rsid w:val="001E48BB"/>
    <w:rsid w:val="001F0494"/>
    <w:rsid w:val="002000A7"/>
    <w:rsid w:val="002247BF"/>
    <w:rsid w:val="00233A7B"/>
    <w:rsid w:val="0023745F"/>
    <w:rsid w:val="002431BD"/>
    <w:rsid w:val="00251033"/>
    <w:rsid w:val="00265E68"/>
    <w:rsid w:val="00265E93"/>
    <w:rsid w:val="002753C6"/>
    <w:rsid w:val="00283AEF"/>
    <w:rsid w:val="0028602D"/>
    <w:rsid w:val="00292D82"/>
    <w:rsid w:val="002B2B5A"/>
    <w:rsid w:val="002B32E5"/>
    <w:rsid w:val="002C1A2B"/>
    <w:rsid w:val="002C1E5E"/>
    <w:rsid w:val="002C60B9"/>
    <w:rsid w:val="00303C1E"/>
    <w:rsid w:val="00311B6F"/>
    <w:rsid w:val="00315066"/>
    <w:rsid w:val="0031686C"/>
    <w:rsid w:val="00333383"/>
    <w:rsid w:val="003427F7"/>
    <w:rsid w:val="00353ACC"/>
    <w:rsid w:val="00376EBF"/>
    <w:rsid w:val="003A3810"/>
    <w:rsid w:val="003B7E50"/>
    <w:rsid w:val="003C35F7"/>
    <w:rsid w:val="003C6DAE"/>
    <w:rsid w:val="003E21BE"/>
    <w:rsid w:val="003E7DF5"/>
    <w:rsid w:val="003F592C"/>
    <w:rsid w:val="003F655B"/>
    <w:rsid w:val="0040568A"/>
    <w:rsid w:val="00414457"/>
    <w:rsid w:val="00422544"/>
    <w:rsid w:val="00441B2C"/>
    <w:rsid w:val="00441D4C"/>
    <w:rsid w:val="00444F80"/>
    <w:rsid w:val="00492826"/>
    <w:rsid w:val="004964BC"/>
    <w:rsid w:val="00496F1C"/>
    <w:rsid w:val="004A2234"/>
    <w:rsid w:val="004A541D"/>
    <w:rsid w:val="004B2B93"/>
    <w:rsid w:val="004B66E2"/>
    <w:rsid w:val="004B702C"/>
    <w:rsid w:val="004D46DF"/>
    <w:rsid w:val="004E57FD"/>
    <w:rsid w:val="004F59D9"/>
    <w:rsid w:val="00503C74"/>
    <w:rsid w:val="005051EB"/>
    <w:rsid w:val="00514140"/>
    <w:rsid w:val="00522F72"/>
    <w:rsid w:val="005231D5"/>
    <w:rsid w:val="00533F45"/>
    <w:rsid w:val="005445E5"/>
    <w:rsid w:val="00557C4D"/>
    <w:rsid w:val="00561392"/>
    <w:rsid w:val="0057245D"/>
    <w:rsid w:val="00583795"/>
    <w:rsid w:val="00584FF5"/>
    <w:rsid w:val="00587241"/>
    <w:rsid w:val="005954BF"/>
    <w:rsid w:val="005B25F9"/>
    <w:rsid w:val="005B646B"/>
    <w:rsid w:val="0060387C"/>
    <w:rsid w:val="0064140C"/>
    <w:rsid w:val="00641CF0"/>
    <w:rsid w:val="00657F9F"/>
    <w:rsid w:val="00684E67"/>
    <w:rsid w:val="00686BDC"/>
    <w:rsid w:val="006926E1"/>
    <w:rsid w:val="00694FF6"/>
    <w:rsid w:val="006A3F13"/>
    <w:rsid w:val="006A7F3D"/>
    <w:rsid w:val="006C19EA"/>
    <w:rsid w:val="006C3AA2"/>
    <w:rsid w:val="007237C3"/>
    <w:rsid w:val="007447CD"/>
    <w:rsid w:val="0077196C"/>
    <w:rsid w:val="00787524"/>
    <w:rsid w:val="007F4830"/>
    <w:rsid w:val="007F55EF"/>
    <w:rsid w:val="007F7C91"/>
    <w:rsid w:val="00806271"/>
    <w:rsid w:val="0080702E"/>
    <w:rsid w:val="00807BB7"/>
    <w:rsid w:val="00822C84"/>
    <w:rsid w:val="00835E94"/>
    <w:rsid w:val="008401AB"/>
    <w:rsid w:val="008606A2"/>
    <w:rsid w:val="00861F67"/>
    <w:rsid w:val="00871529"/>
    <w:rsid w:val="00873CB0"/>
    <w:rsid w:val="008753B3"/>
    <w:rsid w:val="008768AF"/>
    <w:rsid w:val="008824C9"/>
    <w:rsid w:val="00896148"/>
    <w:rsid w:val="008A7FC4"/>
    <w:rsid w:val="008B3B4F"/>
    <w:rsid w:val="008B3DEA"/>
    <w:rsid w:val="008B66BE"/>
    <w:rsid w:val="008E0035"/>
    <w:rsid w:val="008E57CB"/>
    <w:rsid w:val="008F4BB3"/>
    <w:rsid w:val="008F6481"/>
    <w:rsid w:val="009070FF"/>
    <w:rsid w:val="00915416"/>
    <w:rsid w:val="0092275E"/>
    <w:rsid w:val="00950D65"/>
    <w:rsid w:val="00953D5C"/>
    <w:rsid w:val="00993D5D"/>
    <w:rsid w:val="00997667"/>
    <w:rsid w:val="009A44E3"/>
    <w:rsid w:val="009B7A56"/>
    <w:rsid w:val="009F52CC"/>
    <w:rsid w:val="00A0006A"/>
    <w:rsid w:val="00A0701E"/>
    <w:rsid w:val="00A267CD"/>
    <w:rsid w:val="00A300A1"/>
    <w:rsid w:val="00A3467B"/>
    <w:rsid w:val="00A421D0"/>
    <w:rsid w:val="00A43258"/>
    <w:rsid w:val="00A46E4E"/>
    <w:rsid w:val="00A70E74"/>
    <w:rsid w:val="00A73229"/>
    <w:rsid w:val="00A812C7"/>
    <w:rsid w:val="00A866F5"/>
    <w:rsid w:val="00AC0AC1"/>
    <w:rsid w:val="00AC3465"/>
    <w:rsid w:val="00AD241A"/>
    <w:rsid w:val="00B70F3F"/>
    <w:rsid w:val="00B8399F"/>
    <w:rsid w:val="00BA1F95"/>
    <w:rsid w:val="00BB29E4"/>
    <w:rsid w:val="00BB316E"/>
    <w:rsid w:val="00BC5E48"/>
    <w:rsid w:val="00BE15B9"/>
    <w:rsid w:val="00BF3D03"/>
    <w:rsid w:val="00C1221C"/>
    <w:rsid w:val="00C3223F"/>
    <w:rsid w:val="00C33941"/>
    <w:rsid w:val="00C41AA1"/>
    <w:rsid w:val="00C51ED6"/>
    <w:rsid w:val="00C5200A"/>
    <w:rsid w:val="00C525D4"/>
    <w:rsid w:val="00C66DB6"/>
    <w:rsid w:val="00C76AD6"/>
    <w:rsid w:val="00C837EB"/>
    <w:rsid w:val="00CB34E5"/>
    <w:rsid w:val="00CC2C30"/>
    <w:rsid w:val="00CD6256"/>
    <w:rsid w:val="00CE2B47"/>
    <w:rsid w:val="00CE71D9"/>
    <w:rsid w:val="00CF44FA"/>
    <w:rsid w:val="00CF735B"/>
    <w:rsid w:val="00D03499"/>
    <w:rsid w:val="00D21870"/>
    <w:rsid w:val="00D24597"/>
    <w:rsid w:val="00D31040"/>
    <w:rsid w:val="00D33E8A"/>
    <w:rsid w:val="00D402C2"/>
    <w:rsid w:val="00D52491"/>
    <w:rsid w:val="00D77D58"/>
    <w:rsid w:val="00D85CC7"/>
    <w:rsid w:val="00D87109"/>
    <w:rsid w:val="00DB2B69"/>
    <w:rsid w:val="00DB673E"/>
    <w:rsid w:val="00DC0295"/>
    <w:rsid w:val="00DC2000"/>
    <w:rsid w:val="00DC7B44"/>
    <w:rsid w:val="00DE5C9F"/>
    <w:rsid w:val="00DF4186"/>
    <w:rsid w:val="00E01F48"/>
    <w:rsid w:val="00E04622"/>
    <w:rsid w:val="00E04D65"/>
    <w:rsid w:val="00E07D36"/>
    <w:rsid w:val="00E112D7"/>
    <w:rsid w:val="00E21B92"/>
    <w:rsid w:val="00E33857"/>
    <w:rsid w:val="00E40C1E"/>
    <w:rsid w:val="00E447C1"/>
    <w:rsid w:val="00E54091"/>
    <w:rsid w:val="00E65ED5"/>
    <w:rsid w:val="00E773C2"/>
    <w:rsid w:val="00E951B7"/>
    <w:rsid w:val="00F0676A"/>
    <w:rsid w:val="00F12BDB"/>
    <w:rsid w:val="00F60FF2"/>
    <w:rsid w:val="00F650D5"/>
    <w:rsid w:val="00F76B2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60406584"/>
  <w15:chartTrackingRefBased/>
  <w15:docId w15:val="{08C21EB8-8F25-4D22-917E-2E1600BC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C84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E40C1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76B25"/>
    <w:rPr>
      <w:color w:val="800080"/>
      <w:u w:val="single"/>
    </w:rPr>
  </w:style>
  <w:style w:type="character" w:styleId="CommentReference">
    <w:name w:val="annotation reference"/>
    <w:semiHidden/>
    <w:rsid w:val="00051FD4"/>
    <w:rPr>
      <w:sz w:val="16"/>
      <w:szCs w:val="16"/>
    </w:rPr>
  </w:style>
  <w:style w:type="paragraph" w:styleId="CommentText">
    <w:name w:val="annotation text"/>
    <w:basedOn w:val="Normal"/>
    <w:semiHidden/>
    <w:rsid w:val="00051F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51FD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25&amp;langId=cs" TargetMode="External"/><Relationship Id="rId13" Type="http://schemas.openxmlformats.org/officeDocument/2006/relationships/hyperlink" Target="https://europa.eu/eures/portal/um/search-for-advisers?lang=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es.europa.eu/living-and-working_cs" TargetMode="External"/><Relationship Id="rId12" Type="http://schemas.openxmlformats.org/officeDocument/2006/relationships/hyperlink" Target="https://www.enic-naric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eurofound.europa.eu/cs/node/52322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op.europa.eu/s/zHu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.europa.eu/social/main.jsp?catId=471&amp;langId=c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CDT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CDT</dc:creator>
  <cp:keywords/>
  <dc:description/>
  <cp:lastModifiedBy>Elke SMETS</cp:lastModifiedBy>
  <cp:revision>5</cp:revision>
  <cp:lastPrinted>2007-07-12T11:38:00Z</cp:lastPrinted>
  <dcterms:created xsi:type="dcterms:W3CDTF">2024-04-29T07:56:00Z</dcterms:created>
  <dcterms:modified xsi:type="dcterms:W3CDTF">2024-04-29T07:58:00Z</dcterms:modified>
</cp:coreProperties>
</file>