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224154</wp:posOffset>
                </wp:positionV>
                <wp:extent cx="3314700" cy="16097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09725"/>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Kas jāņem vērā</w:t>
                            </w:r>
                            <w:r>
                              <w:rPr>
                                <w:rFonts w:ascii="Arial" w:hAnsi="Arial"/>
                                <w:b/>
                              </w:rPr>
                              <w:br/>
                            </w:r>
                            <w:r>
                              <w:rPr>
                                <w:rFonts w:ascii="Arial" w:hAnsi="Arial"/>
                                <w:b/>
                                <w:sz w:val="28"/>
                                <w:szCs w:val="28"/>
                                <w:u w:val="single"/>
                              </w:rPr>
                              <w:t>PĒC</w:t>
                            </w:r>
                            <w:r>
                              <w:rPr>
                                <w:rFonts w:ascii="Arial" w:hAnsi="Arial"/>
                                <w:b/>
                                <w:sz w:val="28"/>
                                <w:szCs w:val="28"/>
                              </w:rPr>
                              <w:br/>
                            </w:r>
                            <w:r>
                              <w:rPr>
                                <w:rFonts w:ascii="Arial" w:hAnsi="Arial"/>
                                <w:b/>
                              </w:rPr>
                              <w:t>darbinieku pieņemšanas darbā no ārvalstīm</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7.65pt;width:261pt;height:1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Kas jāņem vērā</w:t>
                      </w:r>
                      <w:r>
                        <w:rPr>
                          <w:rFonts w:ascii="Arial" w:hAnsi="Arial"/>
                          <w:b/>
                        </w:rPr>
                        <w:br/>
                      </w:r>
                      <w:r>
                        <w:rPr>
                          <w:rFonts w:ascii="Arial" w:hAnsi="Arial"/>
                          <w:b/>
                          <w:sz w:val="28"/>
                          <w:szCs w:val="28"/>
                          <w:u w:val="single"/>
                        </w:rPr>
                        <w:t>PĒC</w:t>
                      </w:r>
                      <w:r>
                        <w:rPr>
                          <w:rFonts w:ascii="Arial" w:hAnsi="Arial"/>
                          <w:b/>
                          <w:sz w:val="28"/>
                          <w:szCs w:val="28"/>
                        </w:rPr>
                        <w:br/>
                      </w:r>
                      <w:r>
                        <w:rPr>
                          <w:rFonts w:ascii="Arial" w:hAnsi="Arial"/>
                          <w:b/>
                        </w:rPr>
                        <w:t>darbinieku pieņemšanas darbā no ārvalstīm</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2697"/>
        <w:gridCol w:w="5155"/>
        <w:gridCol w:w="7"/>
        <w:gridCol w:w="7"/>
      </w:tblGrid>
      <w:tr w:rsidR="0030094F" w:rsidTr="00743B67">
        <w:trPr>
          <w:gridAfter w:val="1"/>
          <w:wAfter w:w="7" w:type="dxa"/>
          <w:tblHeader/>
        </w:trPr>
        <w:tc>
          <w:tcPr>
            <w:tcW w:w="1271"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Aspekti, kam jāpievērš uzmanība</w:t>
            </w:r>
          </w:p>
        </w:tc>
        <w:tc>
          <w:tcPr>
            <w:tcW w:w="7859"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Darbības</w:t>
            </w:r>
          </w:p>
        </w:tc>
      </w:tr>
      <w:tr w:rsidR="0030094F" w:rsidTr="00743B67">
        <w:trPr>
          <w:gridAfter w:val="2"/>
          <w:wAfter w:w="14" w:type="dxa"/>
          <w:cantSplit/>
          <w:trHeight w:val="1701"/>
        </w:trPr>
        <w:tc>
          <w:tcPr>
            <w:tcW w:w="1271"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Darba ņēmēju integrācija</w:t>
            </w:r>
          </w:p>
        </w:tc>
        <w:tc>
          <w:tcPr>
            <w:tcW w:w="2697"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proofErr w:type="spellStart"/>
            <w:r>
              <w:rPr>
                <w:rFonts w:ascii="Arial" w:hAnsi="Arial"/>
                <w:sz w:val="22"/>
                <w:szCs w:val="22"/>
              </w:rPr>
              <w:t>Ievadmateriāls</w:t>
            </w:r>
            <w:proofErr w:type="spellEnd"/>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proofErr w:type="spellStart"/>
            <w:r>
              <w:rPr>
                <w:rFonts w:ascii="Arial" w:hAnsi="Arial"/>
                <w:sz w:val="22"/>
                <w:szCs w:val="22"/>
              </w:rPr>
              <w:t>Ievadmateriāls</w:t>
            </w:r>
            <w:proofErr w:type="spellEnd"/>
            <w:r>
              <w:rPr>
                <w:rFonts w:ascii="Arial" w:hAnsi="Arial"/>
                <w:sz w:val="22"/>
                <w:szCs w:val="22"/>
              </w:rPr>
              <w:t xml:space="preserve"> ir noderīgs papildinājums jūsu oficiālajai iepazīstināšanas procedūrai. Jūs varat iekļaut informāciju par vietējo apkaimi, piemēram, transporta savienojumiem, maršrutiem uz darba vietu, karti un informāciju par tuvumā esošajiem objektiem.</w:t>
            </w:r>
          </w:p>
        </w:tc>
      </w:tr>
      <w:tr w:rsidR="0030094F" w:rsidTr="00743B67">
        <w:trPr>
          <w:gridAfter w:val="2"/>
          <w:wAfter w:w="14" w:type="dxa"/>
          <w:cantSplit/>
          <w:trHeight w:val="1701"/>
        </w:trPr>
        <w:tc>
          <w:tcPr>
            <w:tcW w:w="1271"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Juridiskās un administratīvās formalitātes</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 xml:space="preserve">Darba ņēmējiem, kuriem jāreģistrējas iestādēs, var būt nepieciešams pārtraukums darbā. </w:t>
            </w:r>
            <w:proofErr w:type="spellStart"/>
            <w:r>
              <w:rPr>
                <w:rFonts w:ascii="Arial" w:hAnsi="Arial"/>
                <w:sz w:val="22"/>
                <w:szCs w:val="22"/>
              </w:rPr>
              <w:t>Atvēliet</w:t>
            </w:r>
            <w:proofErr w:type="spellEnd"/>
            <w:r>
              <w:rPr>
                <w:rFonts w:ascii="Arial" w:hAnsi="Arial"/>
                <w:sz w:val="22"/>
                <w:szCs w:val="22"/>
              </w:rPr>
              <w:t xml:space="preserve"> viņiem laiku, kas būs vajadzīgs, lai pieteiktos sociālā nodrošinājuma numuram, reģistrācijas dokumentam vai veiktu citas iestāžu pieprasītas formalitātes.</w:t>
            </w:r>
          </w:p>
        </w:tc>
      </w:tr>
      <w:tr w:rsidR="0030094F" w:rsidTr="00743B67">
        <w:trPr>
          <w:gridAfter w:val="2"/>
          <w:wAfter w:w="14" w:type="dxa"/>
          <w:cantSplit/>
          <w:trHeight w:val="1701"/>
        </w:trPr>
        <w:tc>
          <w:tcPr>
            <w:tcW w:w="1271"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Ģimenes un iekārtošanās jautājumi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Jūs nevarat būt atbildīgs par ikvienu jauno darbinieku integrācijas aspektu, bet ņemiet vērā viņu apstākļus un laiku, kas viņiem var būt vajadzīgs, lai atrastu mājokli, apmeklētu skolas vai atbalstītu ģimeni.</w:t>
            </w:r>
          </w:p>
        </w:tc>
      </w:tr>
      <w:tr w:rsidR="0030094F" w:rsidTr="00743B67">
        <w:trPr>
          <w:gridAfter w:val="2"/>
          <w:wAfter w:w="14" w:type="dxa"/>
          <w:cantSplit/>
          <w:trHeight w:val="1701"/>
        </w:trPr>
        <w:tc>
          <w:tcPr>
            <w:tcW w:w="1271"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Rezidentu darba ņēmēju sagatavošana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Cik vien iespējams, iesaistiet savus esošos darbiniekus darbā pieņemšanas procesā. Paskaidrojiet viņiem, ko darāt un kāpēc. Kāds sociāls pasākums palīdzēs jūsu darbiniekiem iepazīt citam citu. Jūs taču nevēlaties, lai viņi justos apdraudēti no jūsu jauno darbinieku puses.</w:t>
            </w:r>
          </w:p>
        </w:tc>
      </w:tr>
      <w:tr w:rsidR="0030094F" w:rsidTr="00743B67">
        <w:trPr>
          <w:gridAfter w:val="2"/>
          <w:wAfter w:w="14" w:type="dxa"/>
          <w:cantSplit/>
          <w:trHeight w:val="1701"/>
        </w:trPr>
        <w:tc>
          <w:tcPr>
            <w:tcW w:w="1271"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697" w:type="dxa"/>
            <w:shd w:val="clear" w:color="auto" w:fill="auto"/>
            <w:vAlign w:val="center"/>
          </w:tcPr>
          <w:p w:rsidRPr="00B560AA" w:rsidR="00FD479A" w:rsidP="00CE7C62" w:rsidRDefault="00FD479A">
            <w:pPr>
              <w:spacing w:before="120" w:after="120"/>
              <w:rPr>
                <w:rFonts w:ascii="Arial" w:hAnsi="Arial" w:cs="Arial"/>
                <w:b/>
                <w:sz w:val="22"/>
                <w:szCs w:val="22"/>
              </w:rPr>
            </w:pPr>
            <w:proofErr w:type="spellStart"/>
            <w:r>
              <w:rPr>
                <w:rFonts w:ascii="Arial" w:hAnsi="Arial"/>
                <w:b/>
                <w:sz w:val="22"/>
                <w:szCs w:val="22"/>
              </w:rPr>
              <w:t>Mentorēšana</w:t>
            </w:r>
            <w:proofErr w:type="spellEnd"/>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proofErr w:type="spellStart"/>
            <w:r>
              <w:rPr>
                <w:rFonts w:ascii="Arial" w:hAnsi="Arial"/>
                <w:sz w:val="22"/>
                <w:szCs w:val="22"/>
              </w:rPr>
              <w:t>Mentora</w:t>
            </w:r>
            <w:proofErr w:type="spellEnd"/>
            <w:r>
              <w:rPr>
                <w:rFonts w:ascii="Arial" w:hAnsi="Arial"/>
                <w:sz w:val="22"/>
                <w:szCs w:val="22"/>
              </w:rPr>
              <w:t xml:space="preserve"> iecelšana, lai iepazīstinātu darbinieku ar darba kultūru, kārtību un viņa jaunā darba sociālajiem aspektiem, ir pozitīvs solis, lai atbalstītu darbinieku integrāciju darbavietā. </w:t>
            </w:r>
            <w:proofErr w:type="spellStart"/>
            <w:r>
              <w:rPr>
                <w:rFonts w:ascii="Arial" w:hAnsi="Arial"/>
                <w:sz w:val="22"/>
                <w:szCs w:val="22"/>
              </w:rPr>
              <w:t>Mentors</w:t>
            </w:r>
            <w:proofErr w:type="spellEnd"/>
            <w:r>
              <w:rPr>
                <w:rFonts w:ascii="Arial" w:hAnsi="Arial"/>
                <w:sz w:val="22"/>
                <w:szCs w:val="22"/>
              </w:rPr>
              <w:t xml:space="preserve"> var būt persona, kura pati guvusi līdzīgu pieredzi.</w:t>
            </w:r>
          </w:p>
        </w:tc>
      </w:tr>
      <w:tr w:rsidR="0030094F" w:rsidTr="00743B67">
        <w:tc>
          <w:tcPr>
            <w:tcW w:w="1271"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Apstākļi darbavietā</w:t>
            </w:r>
          </w:p>
        </w:tc>
        <w:tc>
          <w:tcPr>
            <w:tcW w:w="2697"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Darba apstākļi</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Ārvalstu darba ņēmējiem ir tiesības uz tādiem pašiem darba apstākļiem saskaņā ar ES un valsts tiesību aktiem. Pārliecinieties, ka līgumiskās attiecības ar jūsu jauno darbinieku ir taisnīgas un nediskriminējošas.</w:t>
            </w:r>
          </w:p>
        </w:tc>
      </w:tr>
      <w:tr w:rsidR="0030094F" w:rsidTr="00743B67">
        <w:tc>
          <w:tcPr>
            <w:tcW w:w="1271"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Veselība un drošība</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Papildu uzmanība jāpievērš tam, lai jaunie darbinieki no ārvalstīm iepazītos ar jūsu veselības, drošības un aizsardzības pasākumiem. Jums, iespējams, būs jāsniedz papildu atbalsts un jāpārbauda viņu zināšanas par to, kā rīkoties ugunsgrēka trauksmes mācībās vai citā ārkārtas situācijā.</w:t>
            </w:r>
          </w:p>
        </w:tc>
      </w:tr>
      <w:tr w:rsidR="0030094F" w:rsidTr="00743B67">
        <w:tc>
          <w:tcPr>
            <w:tcW w:w="1271"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697"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Apmācība</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Piekļuve mācību un attīstības iespējām ir svarīga visiem darba ņēmējiem, bet jums var nākties pielāgot savu apmācību darba ņēmējiem no ārvalstīm, ja viņi nepārzina tehnisko valodu vai aprīkojumu, ko viņi izmantos.</w:t>
            </w:r>
          </w:p>
        </w:tc>
      </w:tr>
      <w:tr w:rsidR="0030094F" w:rsidTr="00743B67">
        <w:trPr>
          <w:trHeight w:val="1022"/>
        </w:trPr>
        <w:tc>
          <w:tcPr>
            <w:tcW w:w="1271"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697"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Paturēšanas darbā jautājumi</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Ja jums vajadzīga ilgtermiņa iesaiste no sava jaunā darbinieka, centieties paredzēt problēmas, kas varētu ietekmēt paturēšanu darbā. Vai darbiniekam ir jāatgriežas mājās Ziemassvētkos? Vai viņš ir apmierināts ar saviem dzīves un darba apstākļiem?</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30094F"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Dalieties savā pieredzē!</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Ja jūsu pieredze saistībā darbinieku pieņemšanu darbā no ārvalstīm ir interesanta citiem, lūdzu, </w:t>
            </w:r>
            <w:r>
              <w:rPr>
                <w:rFonts w:ascii="Arial" w:hAnsi="Arial"/>
                <w:sz w:val="22"/>
                <w:szCs w:val="22"/>
                <w:u w:val="single"/>
              </w:rPr>
              <w:t>pastāstiet mums par to</w:t>
            </w:r>
            <w:r>
              <w:rPr>
                <w:rFonts w:ascii="Arial" w:hAnsi="Arial"/>
                <w:sz w:val="22"/>
                <w:szCs w:val="22"/>
              </w:rPr>
              <w:t>! Jūsu uzņēmuma stāsts varētu tikt publicēts mūsu tīmekļa vietnē un iedrošināt citus darba devējus, kuri ir vilcinājušies pieņemt darbā darbiniekus citviet Eiropā. Kas izdevās labi? Vai radās jebkādi šķēršļi? Kā jūsu darbinieki ir iedzīvojušies?</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Savu stāstu varat sūtīt uz šādu adresi: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094F"/>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06FE"/>
    <w:rsid w:val="005231D5"/>
    <w:rsid w:val="00541CE9"/>
    <w:rsid w:val="005445E5"/>
    <w:rsid w:val="00557C4D"/>
    <w:rsid w:val="00561392"/>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3B67"/>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382</ap:Words>
  <ap:Characters>2568</ap:Characters>
  <ap:Application>Microsoft Office Word</ap:Application>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2945</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4</revision>
  <lastPrinted>2008-05-21T15:27:00.0000000Z</lastPrinted>
  <dcterms:created xsi:type="dcterms:W3CDTF">2021-05-26T07:39:00.0000000Z</dcterms:created>
  <dcterms:modified xsi:type="dcterms:W3CDTF">2021-06-02T07:40:00.0000000Z</dcterms:modified>
</coreProperties>
</file>